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159" w:rsidRDefault="00570159" w:rsidP="00570159">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592CAC">
        <w:rPr>
          <w:rFonts w:asciiTheme="minorHAnsi" w:hAnsiTheme="minorHAnsi" w:cstheme="minorHAnsi"/>
          <w:b/>
          <w:bCs/>
          <w:iCs/>
          <w:color w:val="767171" w:themeColor="background2" w:themeShade="80"/>
          <w:sz w:val="26"/>
          <w:szCs w:val="26"/>
        </w:rPr>
        <w:t xml:space="preserve">León, Guanajuato, a </w:t>
      </w:r>
      <w:r w:rsidR="00324D7E">
        <w:rPr>
          <w:rFonts w:asciiTheme="minorHAnsi" w:hAnsiTheme="minorHAnsi" w:cstheme="minorHAnsi"/>
          <w:b/>
          <w:bCs/>
          <w:iCs/>
          <w:color w:val="767171" w:themeColor="background2" w:themeShade="80"/>
          <w:sz w:val="26"/>
          <w:szCs w:val="26"/>
        </w:rPr>
        <w:t>5</w:t>
      </w:r>
      <w:r w:rsidRPr="00592CAC">
        <w:rPr>
          <w:rFonts w:asciiTheme="minorHAnsi" w:hAnsiTheme="minorHAnsi" w:cstheme="minorHAnsi"/>
          <w:b/>
          <w:bCs/>
          <w:iCs/>
          <w:color w:val="767171" w:themeColor="background2" w:themeShade="80"/>
          <w:sz w:val="26"/>
          <w:szCs w:val="26"/>
        </w:rPr>
        <w:t xml:space="preserve"> </w:t>
      </w:r>
      <w:r w:rsidR="00324D7E">
        <w:rPr>
          <w:rFonts w:asciiTheme="minorHAnsi" w:hAnsiTheme="minorHAnsi" w:cstheme="minorHAnsi"/>
          <w:b/>
          <w:bCs/>
          <w:iCs/>
          <w:color w:val="767171" w:themeColor="background2" w:themeShade="80"/>
          <w:sz w:val="26"/>
          <w:szCs w:val="26"/>
        </w:rPr>
        <w:t>cinco</w:t>
      </w:r>
      <w:r w:rsidRPr="00592CAC">
        <w:rPr>
          <w:rFonts w:asciiTheme="minorHAnsi" w:hAnsiTheme="minorHAnsi" w:cstheme="minorHAnsi"/>
          <w:b/>
          <w:bCs/>
          <w:iCs/>
          <w:color w:val="767171" w:themeColor="background2" w:themeShade="80"/>
          <w:sz w:val="26"/>
          <w:szCs w:val="26"/>
        </w:rPr>
        <w:t xml:space="preserve"> de </w:t>
      </w:r>
      <w:r>
        <w:rPr>
          <w:rFonts w:asciiTheme="minorHAnsi" w:hAnsiTheme="minorHAnsi" w:cstheme="minorHAnsi"/>
          <w:b/>
          <w:bCs/>
          <w:iCs/>
          <w:color w:val="767171" w:themeColor="background2" w:themeShade="80"/>
          <w:sz w:val="26"/>
          <w:szCs w:val="26"/>
        </w:rPr>
        <w:t>a</w:t>
      </w:r>
      <w:r w:rsidRPr="00592CAC">
        <w:rPr>
          <w:rFonts w:asciiTheme="minorHAnsi" w:hAnsiTheme="minorHAnsi" w:cstheme="minorHAnsi"/>
          <w:b/>
          <w:bCs/>
          <w:iCs/>
          <w:color w:val="767171" w:themeColor="background2" w:themeShade="80"/>
          <w:sz w:val="26"/>
          <w:szCs w:val="26"/>
        </w:rPr>
        <w:t>br</w:t>
      </w:r>
      <w:r>
        <w:rPr>
          <w:rFonts w:asciiTheme="minorHAnsi" w:hAnsiTheme="minorHAnsi" w:cstheme="minorHAnsi"/>
          <w:b/>
          <w:bCs/>
          <w:iCs/>
          <w:color w:val="767171" w:themeColor="background2" w:themeShade="80"/>
          <w:sz w:val="26"/>
          <w:szCs w:val="26"/>
        </w:rPr>
        <w:t>il</w:t>
      </w:r>
      <w:r w:rsidRPr="00592CAC">
        <w:rPr>
          <w:rFonts w:asciiTheme="minorHAnsi" w:hAnsiTheme="minorHAnsi" w:cstheme="minorHAnsi"/>
          <w:b/>
          <w:bCs/>
          <w:iCs/>
          <w:color w:val="767171" w:themeColor="background2" w:themeShade="80"/>
          <w:sz w:val="26"/>
          <w:szCs w:val="26"/>
        </w:rPr>
        <w:t xml:space="preserve"> del año 2018 dos mil dieciocho</w:t>
      </w:r>
      <w:r w:rsidRPr="00592CAC">
        <w:rPr>
          <w:rFonts w:asciiTheme="minorHAnsi" w:hAnsiTheme="minorHAnsi" w:cstheme="minorHAnsi"/>
          <w:bCs/>
          <w:iCs/>
          <w:color w:val="767171" w:themeColor="background2" w:themeShade="80"/>
          <w:sz w:val="26"/>
          <w:szCs w:val="26"/>
        </w:rPr>
        <w:t xml:space="preserve">. . . . . </w:t>
      </w:r>
    </w:p>
    <w:p w:rsidR="00570159" w:rsidRPr="00592CAC" w:rsidRDefault="00570159" w:rsidP="00570159">
      <w:pPr>
        <w:pStyle w:val="NormalWeb"/>
        <w:spacing w:before="0" w:beforeAutospacing="0" w:after="0" w:afterAutospacing="0"/>
        <w:ind w:firstLine="708"/>
        <w:jc w:val="both"/>
        <w:rPr>
          <w:rFonts w:asciiTheme="minorHAnsi" w:hAnsiTheme="minorHAnsi" w:cstheme="minorHAnsi"/>
          <w:bCs/>
          <w:iCs/>
          <w:color w:val="767171" w:themeColor="background2" w:themeShade="80"/>
          <w:sz w:val="26"/>
          <w:szCs w:val="26"/>
        </w:rPr>
      </w:pPr>
    </w:p>
    <w:p w:rsidR="00570159" w:rsidRDefault="00570159" w:rsidP="00570159">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r w:rsidRPr="00592CAC">
        <w:rPr>
          <w:rFonts w:asciiTheme="minorHAnsi" w:hAnsiTheme="minorHAnsi" w:cstheme="minorHAnsi"/>
          <w:b/>
          <w:i/>
          <w:iCs/>
          <w:color w:val="767171" w:themeColor="background2" w:themeShade="80"/>
          <w:sz w:val="26"/>
          <w:szCs w:val="26"/>
        </w:rPr>
        <w:t xml:space="preserve">V I S T O S </w:t>
      </w:r>
      <w:r w:rsidRPr="00592CAC">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sidRPr="00592CAC">
        <w:rPr>
          <w:rFonts w:asciiTheme="minorHAnsi" w:hAnsiTheme="minorHAnsi" w:cstheme="minorHAnsi"/>
          <w:b/>
          <w:color w:val="767171" w:themeColor="background2" w:themeShade="80"/>
          <w:sz w:val="26"/>
          <w:szCs w:val="26"/>
        </w:rPr>
        <w:t>0</w:t>
      </w:r>
      <w:r>
        <w:rPr>
          <w:rFonts w:asciiTheme="minorHAnsi" w:hAnsiTheme="minorHAnsi" w:cstheme="minorHAnsi"/>
          <w:b/>
          <w:color w:val="767171" w:themeColor="background2" w:themeShade="80"/>
          <w:sz w:val="26"/>
          <w:szCs w:val="26"/>
        </w:rPr>
        <w:t>002</w:t>
      </w:r>
      <w:r w:rsidRPr="00592CAC">
        <w:rPr>
          <w:rFonts w:asciiTheme="minorHAnsi" w:hAnsiTheme="minorHAnsi" w:cstheme="minorHAnsi"/>
          <w:b/>
          <w:color w:val="767171" w:themeColor="background2" w:themeShade="80"/>
          <w:sz w:val="26"/>
          <w:szCs w:val="26"/>
        </w:rPr>
        <w:t>/2doJAM/201</w:t>
      </w:r>
      <w:r>
        <w:rPr>
          <w:rFonts w:asciiTheme="minorHAnsi" w:hAnsiTheme="minorHAnsi" w:cstheme="minorHAnsi"/>
          <w:b/>
          <w:color w:val="767171" w:themeColor="background2" w:themeShade="80"/>
          <w:sz w:val="26"/>
          <w:szCs w:val="26"/>
        </w:rPr>
        <w:t>8</w:t>
      </w:r>
      <w:r w:rsidRPr="00592CAC">
        <w:rPr>
          <w:rFonts w:asciiTheme="minorHAnsi" w:hAnsiTheme="minorHAnsi" w:cstheme="minorHAnsi"/>
          <w:b/>
          <w:color w:val="767171" w:themeColor="background2" w:themeShade="80"/>
          <w:sz w:val="26"/>
          <w:szCs w:val="26"/>
        </w:rPr>
        <w:t>-JN</w:t>
      </w:r>
      <w:r w:rsidRPr="00592CAC">
        <w:rPr>
          <w:rFonts w:asciiTheme="minorHAnsi" w:hAnsiTheme="minorHAnsi" w:cstheme="minorHAnsi"/>
          <w:color w:val="767171" w:themeColor="background2" w:themeShade="80"/>
          <w:sz w:val="26"/>
          <w:szCs w:val="26"/>
        </w:rPr>
        <w:t>, promovido por l</w:t>
      </w:r>
      <w:r>
        <w:rPr>
          <w:rFonts w:asciiTheme="minorHAnsi" w:hAnsiTheme="minorHAnsi" w:cstheme="minorHAnsi"/>
          <w:color w:val="767171" w:themeColor="background2" w:themeShade="80"/>
          <w:sz w:val="26"/>
          <w:szCs w:val="26"/>
        </w:rPr>
        <w:t>a</w:t>
      </w:r>
      <w:r w:rsidRPr="00592CAC">
        <w:rPr>
          <w:rFonts w:asciiTheme="minorHAnsi" w:hAnsiTheme="minorHAnsi" w:cstheme="minorHAnsi"/>
          <w:color w:val="767171" w:themeColor="background2" w:themeShade="80"/>
          <w:sz w:val="26"/>
          <w:szCs w:val="26"/>
        </w:rPr>
        <w:t xml:space="preserve"> ciudadan</w:t>
      </w:r>
      <w:r>
        <w:rPr>
          <w:rFonts w:asciiTheme="minorHAnsi" w:hAnsiTheme="minorHAnsi" w:cstheme="minorHAnsi"/>
          <w:color w:val="767171" w:themeColor="background2" w:themeShade="80"/>
          <w:sz w:val="26"/>
          <w:szCs w:val="26"/>
        </w:rPr>
        <w:t>a</w:t>
      </w:r>
      <w:r w:rsidR="00AD1D45">
        <w:rPr>
          <w:rFonts w:asciiTheme="minorHAnsi" w:hAnsiTheme="minorHAnsi" w:cstheme="minorHAnsi"/>
          <w:color w:val="767171" w:themeColor="background2" w:themeShade="80"/>
          <w:sz w:val="26"/>
          <w:szCs w:val="26"/>
        </w:rPr>
        <w:t xml:space="preserve"> ***</w:t>
      </w:r>
      <w:bookmarkStart w:id="0" w:name="_GoBack"/>
      <w:bookmarkEnd w:id="0"/>
      <w:r w:rsidRPr="00592CAC">
        <w:rPr>
          <w:rFonts w:asciiTheme="minorHAnsi" w:hAnsiTheme="minorHAnsi" w:cstheme="minorHAnsi"/>
          <w:b/>
          <w:i/>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w:t>
      </w:r>
    </w:p>
    <w:p w:rsidR="00570159" w:rsidRPr="00592CAC" w:rsidRDefault="00570159" w:rsidP="00570159">
      <w:pPr>
        <w:pStyle w:val="NormalWeb"/>
        <w:spacing w:before="0" w:beforeAutospacing="0" w:after="0" w:afterAutospacing="0"/>
        <w:ind w:firstLine="708"/>
        <w:jc w:val="both"/>
        <w:rPr>
          <w:rFonts w:asciiTheme="minorHAnsi" w:hAnsiTheme="minorHAnsi" w:cstheme="minorHAnsi"/>
          <w:color w:val="767171" w:themeColor="background2" w:themeShade="80"/>
          <w:sz w:val="26"/>
          <w:szCs w:val="26"/>
        </w:rPr>
      </w:pPr>
    </w:p>
    <w:p w:rsidR="00570159" w:rsidRPr="00592CAC" w:rsidRDefault="00570159" w:rsidP="00570159">
      <w:pPr>
        <w:pStyle w:val="Textoindependienteprimerasangra"/>
        <w:ind w:firstLine="0"/>
        <w:jc w:val="center"/>
        <w:rPr>
          <w:rFonts w:asciiTheme="minorHAnsi" w:hAnsiTheme="minorHAnsi" w:cstheme="minorHAnsi"/>
          <w:b/>
          <w:color w:val="767171" w:themeColor="background2" w:themeShade="80"/>
          <w:sz w:val="26"/>
          <w:szCs w:val="26"/>
        </w:rPr>
      </w:pPr>
      <w:r w:rsidRPr="00592CAC">
        <w:rPr>
          <w:rFonts w:asciiTheme="minorHAnsi" w:hAnsiTheme="minorHAnsi" w:cstheme="minorHAnsi"/>
          <w:b/>
          <w:i/>
          <w:color w:val="767171" w:themeColor="background2" w:themeShade="80"/>
          <w:sz w:val="26"/>
          <w:szCs w:val="26"/>
        </w:rPr>
        <w:t xml:space="preserve">C O N S I D E R A N D </w:t>
      </w:r>
      <w:proofErr w:type="gramStart"/>
      <w:r w:rsidRPr="00592CAC">
        <w:rPr>
          <w:rFonts w:asciiTheme="minorHAnsi" w:hAnsiTheme="minorHAnsi" w:cstheme="minorHAnsi"/>
          <w:b/>
          <w:i/>
          <w:color w:val="767171" w:themeColor="background2" w:themeShade="80"/>
          <w:sz w:val="26"/>
          <w:szCs w:val="26"/>
        </w:rPr>
        <w:t>O :</w:t>
      </w:r>
      <w:proofErr w:type="gramEnd"/>
    </w:p>
    <w:p w:rsidR="00570159" w:rsidRPr="00592CAC" w:rsidRDefault="00570159" w:rsidP="00570159">
      <w:pPr>
        <w:jc w:val="both"/>
        <w:rPr>
          <w:color w:val="767171" w:themeColor="background2" w:themeShade="80"/>
        </w:rPr>
      </w:pPr>
    </w:p>
    <w:p w:rsidR="00470D79" w:rsidRPr="00592CAC" w:rsidRDefault="00470D79" w:rsidP="00275718">
      <w:pPr>
        <w:pStyle w:val="Textoindependienteprimerasangra"/>
        <w:ind w:firstLine="0"/>
        <w:jc w:val="both"/>
        <w:rPr>
          <w:rFonts w:asciiTheme="minorHAnsi" w:hAnsiTheme="minorHAnsi" w:cstheme="minorHAnsi"/>
          <w:b/>
          <w:bCs/>
          <w:i/>
          <w:iCs/>
          <w:color w:val="767171" w:themeColor="background2" w:themeShade="80"/>
          <w:sz w:val="26"/>
          <w:szCs w:val="26"/>
        </w:rPr>
      </w:pPr>
    </w:p>
    <w:p w:rsidR="00570159" w:rsidRPr="00592CAC" w:rsidRDefault="00570159" w:rsidP="00570159">
      <w:pPr>
        <w:pStyle w:val="Textoindependienteprimerasangra"/>
        <w:ind w:firstLine="708"/>
        <w:jc w:val="both"/>
        <w:rPr>
          <w:rFonts w:asciiTheme="minorHAnsi" w:hAnsiTheme="minorHAnsi" w:cstheme="minorHAnsi"/>
          <w:color w:val="767171" w:themeColor="background2" w:themeShade="80"/>
          <w:sz w:val="26"/>
          <w:szCs w:val="26"/>
          <w:lang w:val="es-MX"/>
        </w:rPr>
      </w:pPr>
      <w:r w:rsidRPr="00592CAC">
        <w:rPr>
          <w:rFonts w:asciiTheme="minorHAnsi" w:hAnsiTheme="minorHAnsi" w:cstheme="minorHAnsi"/>
          <w:b/>
          <w:bCs/>
          <w:i/>
          <w:iCs/>
          <w:color w:val="767171" w:themeColor="background2" w:themeShade="80"/>
          <w:sz w:val="26"/>
          <w:szCs w:val="26"/>
        </w:rPr>
        <w:t xml:space="preserve">SEGUNDO.- </w:t>
      </w:r>
      <w:r w:rsidRPr="00592CAC">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la parte actora se ostenta sabedora </w:t>
      </w:r>
      <w:r w:rsidRPr="00592CAC">
        <w:rPr>
          <w:rFonts w:asciiTheme="minorHAnsi" w:hAnsiTheme="minorHAnsi" w:cstheme="minorHAnsi"/>
          <w:color w:val="767171" w:themeColor="background2" w:themeShade="80"/>
          <w:sz w:val="26"/>
          <w:szCs w:val="26"/>
          <w:lang w:val="es-MX"/>
        </w:rPr>
        <w:t xml:space="preserve">del acto que impugna; que fue, según dijo, el día </w:t>
      </w:r>
      <w:r w:rsidR="00BC3FD3">
        <w:rPr>
          <w:rFonts w:asciiTheme="minorHAnsi" w:hAnsiTheme="minorHAnsi" w:cstheme="minorHAnsi"/>
          <w:color w:val="767171" w:themeColor="background2" w:themeShade="80"/>
          <w:sz w:val="26"/>
          <w:szCs w:val="26"/>
          <w:lang w:val="es-MX"/>
        </w:rPr>
        <w:t>16</w:t>
      </w:r>
      <w:r w:rsidRPr="00592CAC">
        <w:rPr>
          <w:rFonts w:asciiTheme="minorHAnsi" w:hAnsiTheme="minorHAnsi" w:cstheme="minorHAnsi"/>
          <w:color w:val="767171" w:themeColor="background2" w:themeShade="80"/>
          <w:sz w:val="26"/>
          <w:szCs w:val="26"/>
        </w:rPr>
        <w:t xml:space="preserve"> </w:t>
      </w:r>
      <w:r w:rsidR="00BC3FD3">
        <w:rPr>
          <w:rFonts w:asciiTheme="minorHAnsi" w:hAnsiTheme="minorHAnsi" w:cstheme="minorHAnsi"/>
          <w:color w:val="767171" w:themeColor="background2" w:themeShade="80"/>
          <w:sz w:val="26"/>
          <w:szCs w:val="26"/>
        </w:rPr>
        <w:t>d</w:t>
      </w:r>
      <w:r w:rsidRPr="00592CAC">
        <w:rPr>
          <w:rFonts w:asciiTheme="minorHAnsi" w:hAnsiTheme="minorHAnsi" w:cstheme="minorHAnsi"/>
          <w:color w:val="767171" w:themeColor="background2" w:themeShade="80"/>
          <w:sz w:val="26"/>
          <w:szCs w:val="26"/>
        </w:rPr>
        <w:t>i</w:t>
      </w:r>
      <w:r w:rsidR="00BC3FD3">
        <w:rPr>
          <w:rFonts w:asciiTheme="minorHAnsi" w:hAnsiTheme="minorHAnsi" w:cstheme="minorHAnsi"/>
          <w:color w:val="767171" w:themeColor="background2" w:themeShade="80"/>
          <w:sz w:val="26"/>
          <w:szCs w:val="26"/>
        </w:rPr>
        <w:t xml:space="preserve">eciséis </w:t>
      </w:r>
      <w:r w:rsidR="00326FA3">
        <w:rPr>
          <w:rFonts w:asciiTheme="minorHAnsi" w:hAnsiTheme="minorHAnsi" w:cstheme="minorHAnsi"/>
          <w:color w:val="767171" w:themeColor="background2" w:themeShade="80"/>
          <w:sz w:val="26"/>
          <w:szCs w:val="26"/>
        </w:rPr>
        <w:t>de</w:t>
      </w:r>
      <w:r w:rsidRPr="00592CAC">
        <w:rPr>
          <w:rFonts w:asciiTheme="minorHAnsi" w:hAnsiTheme="minorHAnsi" w:cstheme="minorHAnsi"/>
          <w:color w:val="767171" w:themeColor="background2" w:themeShade="80"/>
          <w:sz w:val="26"/>
          <w:szCs w:val="26"/>
        </w:rPr>
        <w:t xml:space="preserve"> </w:t>
      </w:r>
      <w:r w:rsidR="00326FA3">
        <w:rPr>
          <w:rFonts w:asciiTheme="minorHAnsi" w:hAnsiTheme="minorHAnsi" w:cstheme="minorHAnsi"/>
          <w:color w:val="767171" w:themeColor="background2" w:themeShade="80"/>
          <w:sz w:val="26"/>
          <w:szCs w:val="26"/>
        </w:rPr>
        <w:t xml:space="preserve">noviembre </w:t>
      </w:r>
      <w:r w:rsidRPr="00592CAC">
        <w:rPr>
          <w:rFonts w:asciiTheme="minorHAnsi" w:hAnsiTheme="minorHAnsi" w:cstheme="minorHAnsi"/>
          <w:color w:val="767171" w:themeColor="background2" w:themeShade="80"/>
          <w:sz w:val="26"/>
          <w:szCs w:val="26"/>
        </w:rPr>
        <w:t>del año próximo pasado;</w:t>
      </w:r>
      <w:r w:rsidRPr="00592CAC">
        <w:rPr>
          <w:rFonts w:asciiTheme="minorHAnsi" w:hAnsiTheme="minorHAnsi" w:cstheme="minorHAnsi"/>
          <w:color w:val="767171" w:themeColor="background2" w:themeShade="80"/>
          <w:sz w:val="26"/>
          <w:szCs w:val="26"/>
          <w:lang w:val="es-MX"/>
        </w:rPr>
        <w:t xml:space="preserve"> sin que de las constancias de la presente causa administrativa se desprenda lo contrario. . . . . . . . . . . . . . . . . . . . . . . . . . . . . . . </w:t>
      </w:r>
      <w:r w:rsidR="00275718">
        <w:rPr>
          <w:rFonts w:asciiTheme="minorHAnsi" w:hAnsiTheme="minorHAnsi" w:cstheme="minorHAnsi"/>
          <w:color w:val="767171" w:themeColor="background2" w:themeShade="80"/>
          <w:sz w:val="26"/>
          <w:szCs w:val="26"/>
          <w:lang w:val="es-MX"/>
        </w:rPr>
        <w:t xml:space="preserve">. . . . </w:t>
      </w:r>
    </w:p>
    <w:p w:rsidR="00570159" w:rsidRPr="00592CAC" w:rsidRDefault="00570159" w:rsidP="00570159">
      <w:pPr>
        <w:pStyle w:val="Textoindependienteprimerasangra"/>
        <w:jc w:val="both"/>
        <w:rPr>
          <w:rFonts w:asciiTheme="minorHAnsi" w:hAnsiTheme="minorHAnsi" w:cstheme="minorHAnsi"/>
          <w:b/>
          <w:i/>
          <w:iCs/>
          <w:color w:val="767171" w:themeColor="background2" w:themeShade="80"/>
          <w:sz w:val="26"/>
          <w:szCs w:val="26"/>
          <w:lang w:val="es-MX"/>
        </w:rPr>
      </w:pPr>
    </w:p>
    <w:p w:rsidR="00570159" w:rsidRDefault="00570159" w:rsidP="001C5FFC">
      <w:pPr>
        <w:pStyle w:val="Textoindependienteprimerasangra"/>
        <w:ind w:firstLine="708"/>
        <w:jc w:val="both"/>
        <w:rPr>
          <w:rFonts w:asciiTheme="minorHAnsi" w:hAnsiTheme="minorHAnsi" w:cstheme="minorHAnsi"/>
          <w:color w:val="767171" w:themeColor="background2" w:themeShade="80"/>
          <w:sz w:val="26"/>
          <w:szCs w:val="26"/>
        </w:rPr>
      </w:pPr>
      <w:r w:rsidRPr="00592CAC">
        <w:rPr>
          <w:rFonts w:asciiTheme="minorHAnsi" w:hAnsiTheme="minorHAnsi" w:cstheme="minorHAnsi"/>
          <w:b/>
          <w:i/>
          <w:iCs/>
          <w:color w:val="767171" w:themeColor="background2" w:themeShade="80"/>
          <w:sz w:val="26"/>
          <w:szCs w:val="26"/>
        </w:rPr>
        <w:t xml:space="preserve">TERCERO.- </w:t>
      </w:r>
      <w:r w:rsidRPr="00592CAC">
        <w:rPr>
          <w:rFonts w:asciiTheme="minorHAnsi" w:hAnsiTheme="minorHAnsi" w:cstheme="minorHAnsi"/>
          <w:color w:val="767171" w:themeColor="background2" w:themeShade="80"/>
          <w:sz w:val="26"/>
          <w:szCs w:val="26"/>
        </w:rPr>
        <w:t>La existencia de l</w:t>
      </w:r>
      <w:r w:rsidR="00E52AF3">
        <w:rPr>
          <w:rFonts w:asciiTheme="minorHAnsi" w:hAnsiTheme="minorHAnsi" w:cstheme="minorHAnsi"/>
          <w:color w:val="767171" w:themeColor="background2" w:themeShade="80"/>
          <w:sz w:val="26"/>
          <w:szCs w:val="26"/>
        </w:rPr>
        <w:t>a</w:t>
      </w:r>
      <w:r w:rsidRPr="00592CAC">
        <w:rPr>
          <w:rFonts w:asciiTheme="minorHAnsi" w:hAnsiTheme="minorHAnsi" w:cstheme="minorHAnsi"/>
          <w:color w:val="767171" w:themeColor="background2" w:themeShade="80"/>
          <w:sz w:val="26"/>
          <w:szCs w:val="26"/>
        </w:rPr>
        <w:t xml:space="preserve"> </w:t>
      </w:r>
      <w:r w:rsidR="00E52AF3">
        <w:rPr>
          <w:rFonts w:asciiTheme="minorHAnsi" w:hAnsiTheme="minorHAnsi" w:cstheme="minorHAnsi"/>
          <w:color w:val="767171" w:themeColor="background2" w:themeShade="80"/>
          <w:sz w:val="26"/>
          <w:szCs w:val="26"/>
        </w:rPr>
        <w:t>resolución</w:t>
      </w:r>
      <w:r w:rsidRPr="00592CAC">
        <w:rPr>
          <w:rFonts w:asciiTheme="minorHAnsi" w:hAnsiTheme="minorHAnsi" w:cstheme="minorHAnsi"/>
          <w:color w:val="767171" w:themeColor="background2" w:themeShade="80"/>
          <w:sz w:val="26"/>
          <w:szCs w:val="26"/>
        </w:rPr>
        <w:t xml:space="preserve"> impugnad</w:t>
      </w:r>
      <w:r w:rsidR="00E52AF3">
        <w:rPr>
          <w:rFonts w:asciiTheme="minorHAnsi" w:hAnsiTheme="minorHAnsi" w:cstheme="minorHAnsi"/>
          <w:color w:val="767171" w:themeColor="background2" w:themeShade="80"/>
          <w:sz w:val="26"/>
          <w:szCs w:val="26"/>
        </w:rPr>
        <w:t>a</w:t>
      </w:r>
      <w:r w:rsidR="001816F4">
        <w:rPr>
          <w:rFonts w:asciiTheme="minorHAnsi" w:hAnsiTheme="minorHAnsi" w:cstheme="minorHAnsi"/>
          <w:color w:val="767171" w:themeColor="background2" w:themeShade="80"/>
          <w:sz w:val="26"/>
          <w:szCs w:val="26"/>
        </w:rPr>
        <w:t>,</w:t>
      </w:r>
      <w:r w:rsidRPr="00592CAC">
        <w:rPr>
          <w:rFonts w:asciiTheme="minorHAnsi" w:hAnsiTheme="minorHAnsi" w:cstheme="minorHAnsi"/>
          <w:color w:val="767171" w:themeColor="background2" w:themeShade="80"/>
          <w:sz w:val="26"/>
          <w:szCs w:val="26"/>
        </w:rPr>
        <w:t xml:space="preserve"> se encuentra debidamente acreditada en autos, con </w:t>
      </w:r>
      <w:r w:rsidR="00ED768D">
        <w:rPr>
          <w:rFonts w:asciiTheme="minorHAnsi" w:hAnsiTheme="minorHAnsi" w:cstheme="minorHAnsi"/>
          <w:color w:val="767171" w:themeColor="background2" w:themeShade="80"/>
          <w:sz w:val="26"/>
          <w:szCs w:val="26"/>
        </w:rPr>
        <w:t>e</w:t>
      </w:r>
      <w:r w:rsidRPr="00592CAC">
        <w:rPr>
          <w:rFonts w:asciiTheme="minorHAnsi" w:hAnsiTheme="minorHAnsi" w:cstheme="minorHAnsi"/>
          <w:color w:val="767171" w:themeColor="background2" w:themeShade="80"/>
          <w:sz w:val="26"/>
          <w:szCs w:val="26"/>
        </w:rPr>
        <w:t>l original de</w:t>
      </w:r>
      <w:r w:rsidR="00ED768D">
        <w:rPr>
          <w:rFonts w:asciiTheme="minorHAnsi" w:hAnsiTheme="minorHAnsi" w:cstheme="minorHAnsi"/>
          <w:color w:val="767171" w:themeColor="background2" w:themeShade="80"/>
          <w:sz w:val="26"/>
          <w:szCs w:val="26"/>
        </w:rPr>
        <w:t xml:space="preserve"> </w:t>
      </w:r>
      <w:r w:rsidRPr="00592CAC">
        <w:rPr>
          <w:rFonts w:asciiTheme="minorHAnsi" w:hAnsiTheme="minorHAnsi" w:cstheme="minorHAnsi"/>
          <w:color w:val="767171" w:themeColor="background2" w:themeShade="80"/>
          <w:sz w:val="26"/>
          <w:szCs w:val="26"/>
        </w:rPr>
        <w:t>l</w:t>
      </w:r>
      <w:r w:rsidR="00ED768D">
        <w:rPr>
          <w:rFonts w:asciiTheme="minorHAnsi" w:hAnsiTheme="minorHAnsi" w:cstheme="minorHAnsi"/>
          <w:color w:val="767171" w:themeColor="background2" w:themeShade="80"/>
          <w:sz w:val="26"/>
          <w:szCs w:val="26"/>
        </w:rPr>
        <w:t xml:space="preserve">a </w:t>
      </w:r>
      <w:r w:rsidR="001C5FFC">
        <w:rPr>
          <w:rFonts w:asciiTheme="minorHAnsi" w:hAnsiTheme="minorHAnsi" w:cstheme="minorHAnsi"/>
          <w:color w:val="767171" w:themeColor="background2" w:themeShade="80"/>
          <w:sz w:val="26"/>
          <w:szCs w:val="26"/>
        </w:rPr>
        <w:t xml:space="preserve">misma, el cual </w:t>
      </w:r>
      <w:r w:rsidRPr="00592CAC">
        <w:rPr>
          <w:rFonts w:asciiTheme="minorHAnsi" w:hAnsiTheme="minorHAnsi" w:cstheme="minorHAnsi"/>
          <w:color w:val="767171" w:themeColor="background2" w:themeShade="80"/>
          <w:sz w:val="26"/>
          <w:szCs w:val="26"/>
        </w:rPr>
        <w:t xml:space="preserve">obra en el secreto de este juzgado (visible, en copia certificada, a fojas </w:t>
      </w:r>
      <w:r w:rsidR="00FD6103">
        <w:rPr>
          <w:rFonts w:asciiTheme="minorHAnsi" w:hAnsiTheme="minorHAnsi" w:cstheme="minorHAnsi"/>
          <w:color w:val="767171" w:themeColor="background2" w:themeShade="80"/>
          <w:sz w:val="26"/>
          <w:szCs w:val="26"/>
        </w:rPr>
        <w:t>4</w:t>
      </w:r>
      <w:r w:rsidRPr="00592CAC">
        <w:rPr>
          <w:rFonts w:asciiTheme="minorHAnsi" w:hAnsiTheme="minorHAnsi" w:cstheme="minorHAnsi"/>
          <w:color w:val="767171" w:themeColor="background2" w:themeShade="80"/>
          <w:sz w:val="26"/>
          <w:szCs w:val="26"/>
        </w:rPr>
        <w:t xml:space="preserve"> </w:t>
      </w:r>
      <w:r w:rsidR="00FD6103">
        <w:rPr>
          <w:rFonts w:asciiTheme="minorHAnsi" w:hAnsiTheme="minorHAnsi" w:cstheme="minorHAnsi"/>
          <w:color w:val="767171" w:themeColor="background2" w:themeShade="80"/>
          <w:sz w:val="26"/>
          <w:szCs w:val="26"/>
        </w:rPr>
        <w:t>cuatro</w:t>
      </w:r>
      <w:r w:rsidRPr="00592CAC">
        <w:rPr>
          <w:rFonts w:asciiTheme="minorHAnsi" w:hAnsiTheme="minorHAnsi" w:cstheme="minorHAnsi"/>
          <w:color w:val="767171" w:themeColor="background2" w:themeShade="80"/>
          <w:sz w:val="26"/>
          <w:szCs w:val="26"/>
        </w:rPr>
        <w:t xml:space="preserve"> </w:t>
      </w:r>
      <w:r w:rsidR="00FD6103">
        <w:rPr>
          <w:rFonts w:asciiTheme="minorHAnsi" w:hAnsiTheme="minorHAnsi" w:cstheme="minorHAnsi"/>
          <w:color w:val="767171" w:themeColor="background2" w:themeShade="80"/>
          <w:sz w:val="26"/>
          <w:szCs w:val="26"/>
        </w:rPr>
        <w:t>a 10</w:t>
      </w:r>
      <w:r w:rsidRPr="00592CAC">
        <w:rPr>
          <w:rFonts w:asciiTheme="minorHAnsi" w:hAnsiTheme="minorHAnsi" w:cstheme="minorHAnsi"/>
          <w:color w:val="767171" w:themeColor="background2" w:themeShade="80"/>
          <w:sz w:val="26"/>
          <w:szCs w:val="26"/>
        </w:rPr>
        <w:t xml:space="preserve"> </w:t>
      </w:r>
      <w:r w:rsidR="00FD6103">
        <w:rPr>
          <w:rFonts w:asciiTheme="minorHAnsi" w:hAnsiTheme="minorHAnsi" w:cstheme="minorHAnsi"/>
          <w:color w:val="767171" w:themeColor="background2" w:themeShade="80"/>
          <w:sz w:val="26"/>
          <w:szCs w:val="26"/>
        </w:rPr>
        <w:t>diez</w:t>
      </w:r>
      <w:r w:rsidRPr="00592CAC">
        <w:rPr>
          <w:rFonts w:asciiTheme="minorHAnsi" w:hAnsiTheme="minorHAnsi" w:cstheme="minorHAnsi"/>
          <w:color w:val="767171" w:themeColor="background2" w:themeShade="80"/>
          <w:sz w:val="26"/>
          <w:szCs w:val="26"/>
        </w:rPr>
        <w:t xml:space="preserve">), concediéndole pleno valor probatorio, conforme lo dispuesto en los artículos 78, 113, 117, 118, 121, 122  y 131 del Código de Procedimiento y Justicia Administrativa para el Estado y los Municipios de Guanajuato al tratarse de </w:t>
      </w:r>
      <w:r w:rsidR="00FD6103">
        <w:rPr>
          <w:rFonts w:asciiTheme="minorHAnsi" w:hAnsiTheme="minorHAnsi" w:cstheme="minorHAnsi"/>
          <w:color w:val="767171" w:themeColor="background2" w:themeShade="80"/>
          <w:sz w:val="26"/>
          <w:szCs w:val="26"/>
        </w:rPr>
        <w:t xml:space="preserve">un </w:t>
      </w:r>
      <w:r w:rsidRPr="00592CAC">
        <w:rPr>
          <w:rFonts w:asciiTheme="minorHAnsi" w:hAnsiTheme="minorHAnsi" w:cstheme="minorHAnsi"/>
          <w:color w:val="767171" w:themeColor="background2" w:themeShade="80"/>
          <w:sz w:val="26"/>
          <w:szCs w:val="26"/>
        </w:rPr>
        <w:t>documento público, por haber sido expedido por un servidor público en el ejercicio de sus funciones, aunada la circunstancia de que l</w:t>
      </w:r>
      <w:r w:rsidR="00FD6103">
        <w:rPr>
          <w:rFonts w:asciiTheme="minorHAnsi" w:hAnsiTheme="minorHAnsi" w:cstheme="minorHAnsi"/>
          <w:color w:val="767171" w:themeColor="background2" w:themeShade="80"/>
          <w:sz w:val="26"/>
          <w:szCs w:val="26"/>
        </w:rPr>
        <w:t>as</w:t>
      </w:r>
      <w:r w:rsidRPr="00592CAC">
        <w:rPr>
          <w:rFonts w:asciiTheme="minorHAnsi" w:hAnsiTheme="minorHAnsi" w:cstheme="minorHAnsi"/>
          <w:color w:val="767171" w:themeColor="background2" w:themeShade="80"/>
          <w:sz w:val="26"/>
          <w:szCs w:val="26"/>
        </w:rPr>
        <w:t xml:space="preserve"> demandad</w:t>
      </w:r>
      <w:r w:rsidR="00FD6103">
        <w:rPr>
          <w:rFonts w:asciiTheme="minorHAnsi" w:hAnsiTheme="minorHAnsi" w:cstheme="minorHAnsi"/>
          <w:color w:val="767171" w:themeColor="background2" w:themeShade="80"/>
          <w:sz w:val="26"/>
          <w:szCs w:val="26"/>
        </w:rPr>
        <w:t>as</w:t>
      </w:r>
      <w:r w:rsidRPr="00592CAC">
        <w:rPr>
          <w:rFonts w:asciiTheme="minorHAnsi" w:hAnsiTheme="minorHAnsi" w:cstheme="minorHAnsi"/>
          <w:color w:val="767171" w:themeColor="background2" w:themeShade="80"/>
          <w:sz w:val="26"/>
          <w:szCs w:val="26"/>
        </w:rPr>
        <w:t xml:space="preserve">, al contestar los hechos de la demanda, </w:t>
      </w:r>
      <w:r w:rsidRPr="00592CAC">
        <w:rPr>
          <w:rFonts w:asciiTheme="minorHAnsi" w:hAnsiTheme="minorHAnsi" w:cstheme="minorHAnsi"/>
          <w:b/>
          <w:color w:val="767171" w:themeColor="background2" w:themeShade="80"/>
          <w:sz w:val="26"/>
          <w:szCs w:val="26"/>
        </w:rPr>
        <w:t>acept</w:t>
      </w:r>
      <w:r w:rsidR="00FD6103">
        <w:rPr>
          <w:rFonts w:asciiTheme="minorHAnsi" w:hAnsiTheme="minorHAnsi" w:cstheme="minorHAnsi"/>
          <w:b/>
          <w:color w:val="767171" w:themeColor="background2" w:themeShade="80"/>
          <w:sz w:val="26"/>
          <w:szCs w:val="26"/>
        </w:rPr>
        <w:t>aron</w:t>
      </w:r>
      <w:r w:rsidRPr="00592CAC">
        <w:rPr>
          <w:rFonts w:asciiTheme="minorHAnsi" w:hAnsiTheme="minorHAnsi" w:cstheme="minorHAnsi"/>
          <w:color w:val="767171" w:themeColor="background2" w:themeShade="80"/>
          <w:sz w:val="26"/>
          <w:szCs w:val="26"/>
        </w:rPr>
        <w:t xml:space="preserve"> </w:t>
      </w:r>
      <w:r w:rsidR="00FD6103">
        <w:rPr>
          <w:rFonts w:asciiTheme="minorHAnsi" w:hAnsiTheme="minorHAnsi" w:cstheme="minorHAnsi"/>
          <w:color w:val="767171" w:themeColor="background2" w:themeShade="80"/>
          <w:sz w:val="26"/>
          <w:szCs w:val="26"/>
        </w:rPr>
        <w:t>su</w:t>
      </w:r>
      <w:r w:rsidRPr="00592CAC">
        <w:rPr>
          <w:rFonts w:asciiTheme="minorHAnsi" w:hAnsiTheme="minorHAnsi" w:cstheme="minorHAnsi"/>
          <w:color w:val="767171" w:themeColor="background2" w:themeShade="80"/>
          <w:sz w:val="26"/>
          <w:szCs w:val="26"/>
        </w:rPr>
        <w:t xml:space="preserve"> emi</w:t>
      </w:r>
      <w:r w:rsidR="00FD6103">
        <w:rPr>
          <w:rFonts w:asciiTheme="minorHAnsi" w:hAnsiTheme="minorHAnsi" w:cstheme="minorHAnsi"/>
          <w:color w:val="767171" w:themeColor="background2" w:themeShade="80"/>
          <w:sz w:val="26"/>
          <w:szCs w:val="26"/>
        </w:rPr>
        <w:t>sión</w:t>
      </w:r>
      <w:r w:rsidRPr="00592CAC">
        <w:rPr>
          <w:rFonts w:asciiTheme="minorHAnsi" w:hAnsiTheme="minorHAnsi" w:cstheme="minorHAnsi"/>
          <w:color w:val="767171" w:themeColor="background2" w:themeShade="80"/>
          <w:sz w:val="26"/>
          <w:szCs w:val="26"/>
        </w:rPr>
        <w:t xml:space="preserve">, lo que constituye una </w:t>
      </w:r>
      <w:r w:rsidRPr="00592CAC">
        <w:rPr>
          <w:rFonts w:asciiTheme="minorHAnsi" w:hAnsiTheme="minorHAnsi" w:cstheme="minorHAnsi"/>
          <w:b/>
          <w:color w:val="767171" w:themeColor="background2" w:themeShade="80"/>
          <w:sz w:val="26"/>
          <w:szCs w:val="26"/>
        </w:rPr>
        <w:t>confesión expresa</w:t>
      </w:r>
      <w:r w:rsidRPr="00592CAC">
        <w:rPr>
          <w:rFonts w:asciiTheme="minorHAnsi" w:hAnsiTheme="minorHAnsi" w:cstheme="minorHAnsi"/>
          <w:color w:val="767171" w:themeColor="background2" w:themeShade="80"/>
          <w:sz w:val="26"/>
          <w:szCs w:val="26"/>
        </w:rPr>
        <w:t xml:space="preserve"> de acuerdo al contenido del artículo 57 del Código antes mencionado. . . . . . . . . . . </w:t>
      </w:r>
      <w:r w:rsidR="00FD6103">
        <w:rPr>
          <w:rFonts w:asciiTheme="minorHAnsi" w:hAnsiTheme="minorHAnsi" w:cstheme="minorHAnsi"/>
          <w:color w:val="767171" w:themeColor="background2" w:themeShade="80"/>
          <w:sz w:val="26"/>
          <w:szCs w:val="26"/>
        </w:rPr>
        <w:t xml:space="preserve">. . . . . . . . . . . . </w:t>
      </w:r>
      <w:r w:rsidR="00275718">
        <w:rPr>
          <w:rFonts w:asciiTheme="minorHAnsi" w:hAnsiTheme="minorHAnsi" w:cstheme="minorHAnsi"/>
          <w:color w:val="767171" w:themeColor="background2" w:themeShade="80"/>
          <w:sz w:val="26"/>
          <w:szCs w:val="26"/>
        </w:rPr>
        <w:t>. . . . . . . . . . .  . . . . . . . . . . . . . . . . . . . . . . .  .</w:t>
      </w:r>
    </w:p>
    <w:p w:rsidR="00FD6103" w:rsidRPr="00FD6103" w:rsidRDefault="00FD6103" w:rsidP="00FD6103">
      <w:pPr>
        <w:pStyle w:val="Textoindependienteprimerasangra"/>
        <w:ind w:firstLine="708"/>
        <w:jc w:val="both"/>
        <w:rPr>
          <w:rFonts w:asciiTheme="minorHAnsi" w:hAnsiTheme="minorHAnsi" w:cstheme="minorHAnsi"/>
          <w:color w:val="767171" w:themeColor="background2" w:themeShade="80"/>
          <w:sz w:val="26"/>
          <w:szCs w:val="26"/>
        </w:rPr>
      </w:pPr>
    </w:p>
    <w:p w:rsidR="00570159" w:rsidRPr="00C3052D" w:rsidRDefault="00570159" w:rsidP="00C3052D">
      <w:pPr>
        <w:ind w:firstLine="708"/>
        <w:jc w:val="both"/>
        <w:rPr>
          <w:rFonts w:ascii="Calibri" w:hAnsi="Calibri" w:cs="Calibri"/>
          <w:color w:val="767171" w:themeColor="background2" w:themeShade="80"/>
          <w:sz w:val="26"/>
          <w:szCs w:val="26"/>
        </w:rPr>
      </w:pPr>
      <w:r w:rsidRPr="00592CAC">
        <w:rPr>
          <w:rFonts w:ascii="Calibri" w:hAnsi="Calibri" w:cs="Calibri"/>
          <w:b/>
          <w:bCs/>
          <w:i/>
          <w:iCs/>
          <w:color w:val="767171" w:themeColor="background2" w:themeShade="80"/>
          <w:sz w:val="26"/>
          <w:szCs w:val="26"/>
        </w:rPr>
        <w:t>CUARTO.-</w:t>
      </w:r>
      <w:r w:rsidRPr="00592CAC">
        <w:rPr>
          <w:rFonts w:ascii="Calibri" w:hAnsi="Calibri" w:cs="Calibri"/>
          <w:color w:val="767171" w:themeColor="background2" w:themeShade="80"/>
          <w:sz w:val="26"/>
          <w:szCs w:val="26"/>
        </w:rPr>
        <w:t xml:space="preserve"> </w:t>
      </w:r>
      <w:r w:rsidRPr="00592CAC">
        <w:rPr>
          <w:rFonts w:asciiTheme="minorHAnsi" w:hAnsiTheme="minorHAns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570159" w:rsidRPr="00592CAC" w:rsidRDefault="00570159" w:rsidP="00570159">
      <w:pPr>
        <w:ind w:firstLine="708"/>
        <w:jc w:val="both"/>
        <w:rPr>
          <w:rFonts w:asciiTheme="minorHAnsi" w:hAnsiTheme="minorHAnsi"/>
          <w:bCs/>
          <w:iCs/>
          <w:color w:val="767171" w:themeColor="background2" w:themeShade="80"/>
          <w:sz w:val="26"/>
          <w:szCs w:val="26"/>
        </w:rPr>
      </w:pPr>
    </w:p>
    <w:p w:rsidR="00570159" w:rsidRPr="00592CAC" w:rsidRDefault="00570159" w:rsidP="00570159">
      <w:pPr>
        <w:ind w:firstLine="708"/>
        <w:jc w:val="both"/>
        <w:rPr>
          <w:rFonts w:ascii="Calibri" w:hAnsi="Calibri" w:cs="Arial"/>
          <w:color w:val="767171" w:themeColor="background2" w:themeShade="80"/>
          <w:sz w:val="26"/>
          <w:szCs w:val="26"/>
        </w:rPr>
      </w:pPr>
      <w:r w:rsidRPr="00592CAC">
        <w:rPr>
          <w:rFonts w:ascii="Calibri" w:hAnsi="Calibri"/>
          <w:bCs/>
          <w:iCs/>
          <w:color w:val="767171" w:themeColor="background2" w:themeShade="80"/>
          <w:sz w:val="26"/>
          <w:szCs w:val="26"/>
        </w:rPr>
        <w:t>Así las cosas, la</w:t>
      </w:r>
      <w:r w:rsidR="00270597">
        <w:rPr>
          <w:rFonts w:ascii="Calibri" w:hAnsi="Calibri"/>
          <w:bCs/>
          <w:iCs/>
          <w:color w:val="767171" w:themeColor="background2" w:themeShade="80"/>
          <w:sz w:val="26"/>
          <w:szCs w:val="26"/>
        </w:rPr>
        <w:t>s</w:t>
      </w:r>
      <w:r w:rsidRPr="00592CAC">
        <w:rPr>
          <w:rFonts w:ascii="Calibri" w:hAnsi="Calibri"/>
          <w:bCs/>
          <w:iCs/>
          <w:color w:val="767171" w:themeColor="background2" w:themeShade="80"/>
          <w:sz w:val="26"/>
          <w:szCs w:val="26"/>
        </w:rPr>
        <w:t xml:space="preserve"> autoridad</w:t>
      </w:r>
      <w:r w:rsidR="00270597">
        <w:rPr>
          <w:rFonts w:ascii="Calibri" w:hAnsi="Calibri"/>
          <w:bCs/>
          <w:iCs/>
          <w:color w:val="767171" w:themeColor="background2" w:themeShade="80"/>
          <w:sz w:val="26"/>
          <w:szCs w:val="26"/>
        </w:rPr>
        <w:t>es</w:t>
      </w:r>
      <w:r w:rsidRPr="00592CAC">
        <w:rPr>
          <w:rFonts w:ascii="Calibri" w:hAnsi="Calibri"/>
          <w:bCs/>
          <w:iCs/>
          <w:color w:val="767171" w:themeColor="background2" w:themeShade="80"/>
          <w:sz w:val="26"/>
          <w:szCs w:val="26"/>
        </w:rPr>
        <w:t xml:space="preserve"> demandada</w:t>
      </w:r>
      <w:r w:rsidR="00270597">
        <w:rPr>
          <w:rFonts w:ascii="Calibri" w:hAnsi="Calibri"/>
          <w:bCs/>
          <w:iCs/>
          <w:color w:val="767171" w:themeColor="background2" w:themeShade="80"/>
          <w:sz w:val="26"/>
          <w:szCs w:val="26"/>
        </w:rPr>
        <w:t>s</w:t>
      </w:r>
      <w:r w:rsidRPr="00592CAC">
        <w:rPr>
          <w:rFonts w:ascii="Calibri" w:hAnsi="Calibri"/>
          <w:bCs/>
          <w:iCs/>
          <w:color w:val="767171" w:themeColor="background2" w:themeShade="80"/>
          <w:sz w:val="26"/>
          <w:szCs w:val="26"/>
        </w:rPr>
        <w:t xml:space="preserve"> refiere</w:t>
      </w:r>
      <w:r w:rsidR="00270597">
        <w:rPr>
          <w:rFonts w:ascii="Calibri" w:hAnsi="Calibri"/>
          <w:bCs/>
          <w:iCs/>
          <w:color w:val="767171" w:themeColor="background2" w:themeShade="80"/>
          <w:sz w:val="26"/>
          <w:szCs w:val="26"/>
        </w:rPr>
        <w:t>n</w:t>
      </w:r>
      <w:r w:rsidRPr="00592CAC">
        <w:rPr>
          <w:rFonts w:ascii="Calibri" w:hAnsi="Calibri"/>
          <w:bCs/>
          <w:iCs/>
          <w:color w:val="767171" w:themeColor="background2" w:themeShade="80"/>
          <w:sz w:val="26"/>
          <w:szCs w:val="26"/>
        </w:rPr>
        <w:t xml:space="preserve"> que en el presente asunto se actualiza la causal de improcedencia prevista en la fracción VI del artículo 261 del Código de Procedimiento </w:t>
      </w:r>
      <w:r w:rsidRPr="00592CAC">
        <w:rPr>
          <w:rFonts w:ascii="Calibri" w:hAnsi="Calibri" w:cs="Arial"/>
          <w:color w:val="767171" w:themeColor="background2" w:themeShade="80"/>
          <w:sz w:val="26"/>
          <w:szCs w:val="26"/>
        </w:rPr>
        <w:t>y Justicia Administrativa en vigor en el Estado, misma que se refiere a que los actos impugnados sean inexistentes</w:t>
      </w:r>
      <w:r w:rsidR="00270597">
        <w:rPr>
          <w:rFonts w:ascii="Calibri" w:hAnsi="Calibri" w:cs="Arial"/>
          <w:color w:val="767171" w:themeColor="background2" w:themeShade="80"/>
          <w:sz w:val="26"/>
          <w:szCs w:val="26"/>
        </w:rPr>
        <w:t>. . . . . .</w:t>
      </w:r>
    </w:p>
    <w:p w:rsidR="00570159" w:rsidRPr="00592CAC" w:rsidRDefault="00570159" w:rsidP="00570159">
      <w:pPr>
        <w:ind w:firstLine="708"/>
        <w:jc w:val="both"/>
        <w:rPr>
          <w:rFonts w:ascii="Calibri" w:hAnsi="Calibri" w:cs="Arial"/>
          <w:color w:val="767171" w:themeColor="background2" w:themeShade="80"/>
          <w:sz w:val="26"/>
          <w:szCs w:val="26"/>
        </w:rPr>
      </w:pPr>
    </w:p>
    <w:p w:rsidR="00570159" w:rsidRPr="00592CAC" w:rsidRDefault="00570159" w:rsidP="00570159">
      <w:pPr>
        <w:ind w:firstLine="708"/>
        <w:jc w:val="both"/>
        <w:rPr>
          <w:rFonts w:ascii="Calibri" w:hAnsi="Calibri" w:cs="Calibri"/>
          <w:color w:val="767171" w:themeColor="background2" w:themeShade="80"/>
          <w:sz w:val="26"/>
          <w:szCs w:val="26"/>
        </w:rPr>
      </w:pPr>
      <w:r w:rsidRPr="00592CAC">
        <w:rPr>
          <w:rFonts w:ascii="Calibri" w:hAnsi="Calibri" w:cs="Arial"/>
          <w:color w:val="767171" w:themeColor="background2" w:themeShade="80"/>
          <w:sz w:val="26"/>
          <w:szCs w:val="26"/>
        </w:rPr>
        <w:t xml:space="preserve">Causal que </w:t>
      </w:r>
      <w:r w:rsidRPr="00592CAC">
        <w:rPr>
          <w:rFonts w:ascii="Calibri" w:hAnsi="Calibri" w:cs="Arial"/>
          <w:b/>
          <w:color w:val="767171" w:themeColor="background2" w:themeShade="80"/>
          <w:sz w:val="26"/>
          <w:szCs w:val="26"/>
        </w:rPr>
        <w:t>no se actualiza</w:t>
      </w:r>
      <w:r w:rsidRPr="00592CAC">
        <w:rPr>
          <w:rFonts w:ascii="Calibri" w:hAnsi="Calibri" w:cs="Arial"/>
          <w:color w:val="767171" w:themeColor="background2" w:themeShade="80"/>
          <w:sz w:val="26"/>
          <w:szCs w:val="26"/>
        </w:rPr>
        <w:t xml:space="preserve"> en el presente asunto, pues como se ha señalado en el Considerando Tercero de esta resolución, </w:t>
      </w:r>
      <w:r w:rsidR="00270597">
        <w:rPr>
          <w:rFonts w:ascii="Calibri" w:hAnsi="Calibri" w:cs="Arial"/>
          <w:color w:val="767171" w:themeColor="background2" w:themeShade="80"/>
          <w:sz w:val="26"/>
          <w:szCs w:val="26"/>
        </w:rPr>
        <w:t>e</w:t>
      </w:r>
      <w:r w:rsidRPr="00592CAC">
        <w:rPr>
          <w:rFonts w:ascii="Calibri" w:hAnsi="Calibri" w:cs="Arial"/>
          <w:color w:val="767171" w:themeColor="background2" w:themeShade="80"/>
          <w:sz w:val="26"/>
          <w:szCs w:val="26"/>
        </w:rPr>
        <w:t xml:space="preserve">l acto impugnado sí existe; sin embargo, </w:t>
      </w:r>
      <w:r w:rsidRPr="00592CAC">
        <w:rPr>
          <w:rFonts w:ascii="Calibri" w:hAnsi="Calibri" w:cs="Arial"/>
          <w:b/>
          <w:color w:val="767171" w:themeColor="background2" w:themeShade="80"/>
          <w:sz w:val="26"/>
          <w:szCs w:val="26"/>
        </w:rPr>
        <w:t>de oficio</w:t>
      </w:r>
      <w:r w:rsidRPr="00592CAC">
        <w:rPr>
          <w:rFonts w:ascii="Calibri" w:hAnsi="Calibri" w:cs="Arial"/>
          <w:color w:val="767171" w:themeColor="background2" w:themeShade="80"/>
          <w:sz w:val="26"/>
          <w:szCs w:val="26"/>
        </w:rPr>
        <w:t xml:space="preserve">, este Juzgador considera que </w:t>
      </w:r>
      <w:r w:rsidRPr="00592CAC">
        <w:rPr>
          <w:rFonts w:ascii="Calibri" w:hAnsi="Calibri" w:cs="Arial"/>
          <w:b/>
          <w:color w:val="767171" w:themeColor="background2" w:themeShade="80"/>
          <w:sz w:val="26"/>
          <w:szCs w:val="26"/>
        </w:rPr>
        <w:t>se actualiza</w:t>
      </w:r>
      <w:r w:rsidRPr="00592CAC">
        <w:rPr>
          <w:rFonts w:ascii="Calibri" w:hAnsi="Calibri" w:cs="Arial"/>
          <w:color w:val="767171" w:themeColor="background2" w:themeShade="80"/>
          <w:sz w:val="26"/>
          <w:szCs w:val="26"/>
        </w:rPr>
        <w:t xml:space="preserve"> en el presente asunto, la causal de sobreseimiento prevista en la fracción IV </w:t>
      </w:r>
      <w:r w:rsidRPr="00592CAC">
        <w:rPr>
          <w:rFonts w:ascii="Calibri" w:hAnsi="Calibri" w:cs="Calibri"/>
          <w:color w:val="767171" w:themeColor="background2" w:themeShade="80"/>
          <w:sz w:val="26"/>
          <w:szCs w:val="26"/>
        </w:rPr>
        <w:t xml:space="preserve">del artículo 262 del Código de Procedimiento y Justicia Administrativa antes citado; que establece que procede el sobreseimiento del proceso administrativo cuando la autoridad municipal haya satisfecho la pretensión de la parte actora; lo que puede darse, ya sea modificando o revocando el acto impugnado, decisión, ésta última, que </w:t>
      </w:r>
      <w:r w:rsidRPr="00592CAC">
        <w:rPr>
          <w:rFonts w:ascii="Calibri" w:hAnsi="Calibri" w:cs="Calibri"/>
          <w:color w:val="767171" w:themeColor="background2" w:themeShade="80"/>
          <w:sz w:val="26"/>
          <w:szCs w:val="26"/>
        </w:rPr>
        <w:lastRenderedPageBreak/>
        <w:t xml:space="preserve">acarrea también como consecuencia, la cesación de los efectos del mismo, quedando el proceso totalmente sin materia antes de que se dicte la sentencia. . . </w:t>
      </w:r>
      <w:r w:rsidR="00275718">
        <w:rPr>
          <w:rFonts w:ascii="Calibri" w:hAnsi="Calibri" w:cs="Calibri"/>
          <w:color w:val="767171" w:themeColor="background2" w:themeShade="80"/>
          <w:sz w:val="26"/>
          <w:szCs w:val="26"/>
        </w:rPr>
        <w:t>. . . . . . . . . . . . . . . . . . . . . . . . . . . . . . . . . . . . . . . . . . . . . . . . . . . . . . .  . . .</w:t>
      </w:r>
    </w:p>
    <w:p w:rsidR="00570159" w:rsidRPr="00592CAC" w:rsidRDefault="00570159" w:rsidP="00570159">
      <w:pPr>
        <w:pStyle w:val="Textoindependiente"/>
        <w:ind w:firstLine="708"/>
        <w:jc w:val="both"/>
        <w:rPr>
          <w:rFonts w:ascii="Calibri" w:hAnsi="Calibri" w:cs="Calibri"/>
          <w:color w:val="767171" w:themeColor="background2" w:themeShade="80"/>
          <w:sz w:val="22"/>
          <w:szCs w:val="26"/>
        </w:rPr>
      </w:pPr>
    </w:p>
    <w:p w:rsidR="00570159" w:rsidRPr="00592CAC" w:rsidRDefault="00570159" w:rsidP="00270597">
      <w:pPr>
        <w:pStyle w:val="Textoindependiente"/>
        <w:ind w:firstLine="708"/>
        <w:jc w:val="both"/>
        <w:rPr>
          <w:rFonts w:ascii="Calibri" w:hAnsi="Calibri" w:cs="Calibri"/>
          <w:color w:val="767171" w:themeColor="background2" w:themeShade="80"/>
          <w:sz w:val="26"/>
          <w:szCs w:val="26"/>
        </w:rPr>
      </w:pPr>
      <w:r w:rsidRPr="00592CAC">
        <w:rPr>
          <w:rFonts w:ascii="Calibri" w:hAnsi="Calibri" w:cs="Calibri"/>
          <w:color w:val="767171" w:themeColor="background2" w:themeShade="80"/>
          <w:sz w:val="26"/>
          <w:szCs w:val="26"/>
        </w:rPr>
        <w:t xml:space="preserve">Así las cosas, el proceso administrativo tiene por objeto resolver una controversia que surja entre un gobernado y una autoridad de carácter municipal mediante una resolución que emita un órgano imparcial e independiente, dotado de autonomía para dictar sus fallos, como lo son los Juzgados Administrativos Municipales, según lo establece el artículo 244 de la Ley Orgánica Municipal para el Estado de Guanajuato, y que resulta </w:t>
      </w:r>
      <w:proofErr w:type="spellStart"/>
      <w:r w:rsidRPr="00592CAC">
        <w:rPr>
          <w:rFonts w:ascii="Calibri" w:hAnsi="Calibri" w:cs="Calibri"/>
          <w:color w:val="767171" w:themeColor="background2" w:themeShade="80"/>
          <w:sz w:val="26"/>
          <w:szCs w:val="26"/>
        </w:rPr>
        <w:t>vinculativa</w:t>
      </w:r>
      <w:proofErr w:type="spellEnd"/>
      <w:r w:rsidRPr="00592CAC">
        <w:rPr>
          <w:rFonts w:ascii="Calibri" w:hAnsi="Calibri" w:cs="Calibri"/>
          <w:color w:val="767171" w:themeColor="background2" w:themeShade="80"/>
          <w:sz w:val="26"/>
          <w:szCs w:val="26"/>
        </w:rPr>
        <w:t xml:space="preserve"> para las partes. El presupuesto indispensable del proceso administrativo está constituido por la existencia y subsistencia de un litigio entre partes, que en la definición del </w:t>
      </w:r>
      <w:proofErr w:type="spellStart"/>
      <w:r w:rsidRPr="00592CAC">
        <w:rPr>
          <w:rFonts w:ascii="Calibri" w:hAnsi="Calibri" w:cs="Calibri"/>
          <w:color w:val="767171" w:themeColor="background2" w:themeShade="80"/>
          <w:sz w:val="26"/>
          <w:szCs w:val="26"/>
        </w:rPr>
        <w:t>doctrinista</w:t>
      </w:r>
      <w:proofErr w:type="spellEnd"/>
      <w:r w:rsidRPr="00592CAC">
        <w:rPr>
          <w:rFonts w:ascii="Calibri" w:hAnsi="Calibri" w:cs="Calibri"/>
          <w:color w:val="767171" w:themeColor="background2" w:themeShade="80"/>
          <w:sz w:val="26"/>
          <w:szCs w:val="26"/>
        </w:rPr>
        <w:t xml:space="preserve"> Carnelutti es </w:t>
      </w:r>
      <w:r w:rsidRPr="00592CAC">
        <w:rPr>
          <w:rFonts w:ascii="Calibri" w:hAnsi="Calibri" w:cs="Calibri"/>
          <w:i/>
          <w:iCs/>
          <w:color w:val="767171" w:themeColor="background2" w:themeShade="80"/>
          <w:sz w:val="26"/>
          <w:szCs w:val="26"/>
        </w:rPr>
        <w:t xml:space="preserve">"el conflicto de intereses calificado por la pretensión de uno de los interesados y la resistencia del otro"; </w:t>
      </w:r>
      <w:r w:rsidRPr="00592CAC">
        <w:rPr>
          <w:rFonts w:ascii="Calibri" w:hAnsi="Calibri" w:cs="Calibri"/>
          <w:color w:val="767171" w:themeColor="background2" w:themeShade="80"/>
          <w:sz w:val="26"/>
          <w:szCs w:val="26"/>
        </w:rPr>
        <w:t xml:space="preserve">toda vez que esta oposición de intereses es lo que constituye la materia del proceso. . . . . . . . . . . . . . . . . . . . . . . . . . . . . . . . . . . </w:t>
      </w:r>
    </w:p>
    <w:p w:rsidR="006E07F8" w:rsidRDefault="006E07F8" w:rsidP="00275718">
      <w:pPr>
        <w:jc w:val="both"/>
        <w:rPr>
          <w:rFonts w:ascii="Calibri" w:hAnsi="Calibri" w:cs="Calibri"/>
          <w:color w:val="767171" w:themeColor="background2" w:themeShade="80"/>
          <w:sz w:val="26"/>
          <w:szCs w:val="26"/>
        </w:rPr>
      </w:pPr>
    </w:p>
    <w:p w:rsidR="00275718" w:rsidRDefault="00570159" w:rsidP="00570159">
      <w:pPr>
        <w:ind w:firstLine="708"/>
        <w:jc w:val="both"/>
        <w:rPr>
          <w:rFonts w:ascii="Calibri" w:hAnsi="Calibri" w:cs="Calibri"/>
          <w:color w:val="767171" w:themeColor="background2" w:themeShade="80"/>
          <w:sz w:val="26"/>
          <w:szCs w:val="26"/>
        </w:rPr>
      </w:pPr>
      <w:r w:rsidRPr="00592CAC">
        <w:rPr>
          <w:rFonts w:ascii="Calibri" w:hAnsi="Calibri" w:cs="Calibri"/>
          <w:color w:val="767171" w:themeColor="background2" w:themeShade="80"/>
          <w:sz w:val="26"/>
          <w:szCs w:val="26"/>
        </w:rPr>
        <w:t xml:space="preserve">Luego entonces, cuando </w:t>
      </w:r>
      <w:r w:rsidRPr="00592CAC">
        <w:rPr>
          <w:rFonts w:ascii="Calibri" w:hAnsi="Calibri" w:cs="Calibri"/>
          <w:b/>
          <w:iCs/>
          <w:color w:val="767171" w:themeColor="background2" w:themeShade="80"/>
          <w:sz w:val="26"/>
          <w:szCs w:val="26"/>
        </w:rPr>
        <w:t>cesa</w:t>
      </w:r>
      <w:r w:rsidRPr="00592CAC">
        <w:rPr>
          <w:rFonts w:ascii="Calibri" w:hAnsi="Calibri" w:cs="Calibri"/>
          <w:iCs/>
          <w:color w:val="767171" w:themeColor="background2" w:themeShade="80"/>
          <w:sz w:val="26"/>
          <w:szCs w:val="26"/>
        </w:rPr>
        <w:t xml:space="preserve">, </w:t>
      </w:r>
      <w:r w:rsidRPr="00592CAC">
        <w:rPr>
          <w:rFonts w:ascii="Calibri" w:hAnsi="Calibri" w:cs="Calibri"/>
          <w:color w:val="767171" w:themeColor="background2" w:themeShade="80"/>
          <w:sz w:val="26"/>
          <w:szCs w:val="26"/>
        </w:rPr>
        <w:t xml:space="preserve">desaparece o se extingue el litigio, porque ha dejado de existir la pretensión o la resistencia contra esa pretensión; el </w:t>
      </w:r>
    </w:p>
    <w:p w:rsidR="00275718" w:rsidRDefault="00275718" w:rsidP="00275718">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0002/2doJAM/2018-JN</w:t>
      </w:r>
    </w:p>
    <w:p w:rsidR="00275718" w:rsidRDefault="00275718" w:rsidP="00570159">
      <w:pPr>
        <w:ind w:firstLine="708"/>
        <w:jc w:val="both"/>
        <w:rPr>
          <w:rFonts w:ascii="Calibri" w:hAnsi="Calibri" w:cs="Calibri"/>
          <w:color w:val="767171" w:themeColor="background2" w:themeShade="80"/>
          <w:sz w:val="26"/>
          <w:szCs w:val="26"/>
        </w:rPr>
      </w:pPr>
    </w:p>
    <w:p w:rsidR="00570159" w:rsidRPr="00592CAC" w:rsidRDefault="00570159" w:rsidP="00275718">
      <w:pPr>
        <w:jc w:val="both"/>
        <w:rPr>
          <w:rFonts w:ascii="Calibri" w:hAnsi="Calibri" w:cs="Calibri"/>
          <w:color w:val="767171" w:themeColor="background2" w:themeShade="80"/>
          <w:sz w:val="26"/>
          <w:szCs w:val="26"/>
        </w:rPr>
      </w:pPr>
      <w:proofErr w:type="gramStart"/>
      <w:r w:rsidRPr="00592CAC">
        <w:rPr>
          <w:rFonts w:ascii="Calibri" w:hAnsi="Calibri" w:cs="Calibri"/>
          <w:color w:val="767171" w:themeColor="background2" w:themeShade="80"/>
          <w:sz w:val="26"/>
          <w:szCs w:val="26"/>
        </w:rPr>
        <w:t>proceso</w:t>
      </w:r>
      <w:proofErr w:type="gramEnd"/>
      <w:r w:rsidRPr="00592CAC">
        <w:rPr>
          <w:rFonts w:ascii="Calibri" w:hAnsi="Calibri" w:cs="Calibri"/>
          <w:color w:val="767171" w:themeColor="background2" w:themeShade="80"/>
          <w:sz w:val="26"/>
          <w:szCs w:val="26"/>
        </w:rPr>
        <w:t xml:space="preserve"> queda sin materia y, por tanto, ya no tiene objeto alguno continuar con su tramitación, ni con la preparación de la sentencia y su dictado, pues lo que procede es darlo por concluido, mediante una resolución de sobreseimiento. . . . </w:t>
      </w:r>
      <w:r w:rsidR="00275718">
        <w:rPr>
          <w:rFonts w:ascii="Calibri" w:hAnsi="Calibri" w:cs="Calibri"/>
          <w:color w:val="767171" w:themeColor="background2" w:themeShade="80"/>
          <w:sz w:val="26"/>
          <w:szCs w:val="26"/>
        </w:rPr>
        <w:t xml:space="preserve">. </w:t>
      </w:r>
    </w:p>
    <w:p w:rsidR="00570159" w:rsidRPr="00592CAC" w:rsidRDefault="00570159" w:rsidP="00570159">
      <w:pPr>
        <w:ind w:firstLine="708"/>
        <w:jc w:val="both"/>
        <w:rPr>
          <w:rFonts w:ascii="Calibri" w:hAnsi="Calibri" w:cs="Calibri"/>
          <w:color w:val="767171" w:themeColor="background2" w:themeShade="80"/>
          <w:sz w:val="26"/>
          <w:szCs w:val="26"/>
        </w:rPr>
      </w:pPr>
    </w:p>
    <w:p w:rsidR="00570159" w:rsidRPr="00592CAC" w:rsidRDefault="00570159" w:rsidP="0030634B">
      <w:pPr>
        <w:pStyle w:val="Textoindependienteprimerasangra"/>
        <w:ind w:firstLine="708"/>
        <w:jc w:val="both"/>
        <w:rPr>
          <w:rFonts w:asciiTheme="minorHAnsi" w:hAnsiTheme="minorHAnsi" w:cstheme="minorHAnsi"/>
          <w:color w:val="767171" w:themeColor="background2" w:themeShade="80"/>
          <w:sz w:val="26"/>
          <w:szCs w:val="26"/>
        </w:rPr>
      </w:pPr>
      <w:r w:rsidRPr="00592CAC">
        <w:rPr>
          <w:rFonts w:ascii="Calibri" w:hAnsi="Calibri" w:cs="Calibri"/>
          <w:color w:val="767171" w:themeColor="background2" w:themeShade="80"/>
          <w:sz w:val="26"/>
          <w:szCs w:val="26"/>
        </w:rPr>
        <w:t xml:space="preserve">Es el caso que en este proceso, la parte actora impugnó, con la pretensión de que se </w:t>
      </w:r>
      <w:r w:rsidR="00624F44">
        <w:rPr>
          <w:rFonts w:ascii="Calibri" w:hAnsi="Calibri" w:cs="Calibri"/>
          <w:color w:val="767171" w:themeColor="background2" w:themeShade="80"/>
          <w:sz w:val="26"/>
          <w:szCs w:val="26"/>
        </w:rPr>
        <w:t>declare</w:t>
      </w:r>
      <w:r w:rsidR="001C5FFC">
        <w:rPr>
          <w:rFonts w:ascii="Calibri" w:hAnsi="Calibri" w:cs="Calibri"/>
          <w:color w:val="767171" w:themeColor="background2" w:themeShade="80"/>
          <w:sz w:val="26"/>
          <w:szCs w:val="26"/>
        </w:rPr>
        <w:t xml:space="preserve"> la nulidad de </w:t>
      </w:r>
      <w:r w:rsidR="006E07F8">
        <w:rPr>
          <w:rFonts w:ascii="Calibri" w:hAnsi="Calibri" w:cs="Calibri"/>
          <w:color w:val="767171" w:themeColor="background2" w:themeShade="80"/>
          <w:sz w:val="26"/>
          <w:szCs w:val="26"/>
        </w:rPr>
        <w:t>l</w:t>
      </w:r>
      <w:r w:rsidR="006E07F8">
        <w:rPr>
          <w:rFonts w:asciiTheme="minorHAnsi" w:hAnsiTheme="minorHAnsi" w:cstheme="minorHAnsi"/>
          <w:color w:val="767171" w:themeColor="background2" w:themeShade="80"/>
          <w:sz w:val="26"/>
          <w:szCs w:val="26"/>
        </w:rPr>
        <w:t xml:space="preserve">a </w:t>
      </w:r>
      <w:r w:rsidR="001C5FFC">
        <w:rPr>
          <w:rFonts w:asciiTheme="minorHAnsi" w:hAnsiTheme="minorHAnsi" w:cstheme="minorHAnsi"/>
          <w:color w:val="767171" w:themeColor="background2" w:themeShade="80"/>
          <w:sz w:val="26"/>
          <w:szCs w:val="26"/>
        </w:rPr>
        <w:t>resolución de fecha 16 dieciséis de noviembre del año 2017 dos mil diecisiete, dictada dentro del expediente con número 1287/P-SAN/FISC/2017</w:t>
      </w:r>
      <w:r w:rsidR="00624F44">
        <w:rPr>
          <w:rFonts w:asciiTheme="minorHAnsi" w:hAnsiTheme="minorHAnsi" w:cstheme="minorHAnsi"/>
          <w:color w:val="767171" w:themeColor="background2" w:themeShade="80"/>
          <w:sz w:val="26"/>
          <w:szCs w:val="26"/>
        </w:rPr>
        <w:t xml:space="preserve">, </w:t>
      </w:r>
      <w:r w:rsidR="00FE7DBB">
        <w:rPr>
          <w:rFonts w:asciiTheme="minorHAnsi" w:hAnsiTheme="minorHAnsi" w:cstheme="minorHAnsi"/>
          <w:color w:val="767171" w:themeColor="background2" w:themeShade="80"/>
          <w:sz w:val="26"/>
          <w:szCs w:val="26"/>
        </w:rPr>
        <w:t xml:space="preserve">por la que se le impuso una sanción económica </w:t>
      </w:r>
      <w:r w:rsidR="006E07F8">
        <w:rPr>
          <w:rFonts w:asciiTheme="minorHAnsi" w:hAnsiTheme="minorHAnsi" w:cstheme="minorHAnsi"/>
          <w:color w:val="767171" w:themeColor="background2" w:themeShade="80"/>
          <w:sz w:val="26"/>
          <w:szCs w:val="26"/>
        </w:rPr>
        <w:t xml:space="preserve">por la cantidad de $18,495.00 </w:t>
      </w:r>
      <w:r w:rsidR="00FE7DBB">
        <w:rPr>
          <w:rFonts w:asciiTheme="minorHAnsi" w:hAnsiTheme="minorHAnsi" w:cstheme="minorHAnsi"/>
          <w:color w:val="767171" w:themeColor="background2" w:themeShade="80"/>
          <w:sz w:val="26"/>
          <w:szCs w:val="26"/>
        </w:rPr>
        <w:t>(</w:t>
      </w:r>
      <w:r w:rsidR="006E07F8">
        <w:rPr>
          <w:rFonts w:asciiTheme="minorHAnsi" w:hAnsiTheme="minorHAnsi" w:cstheme="minorHAnsi"/>
          <w:color w:val="767171" w:themeColor="background2" w:themeShade="80"/>
          <w:sz w:val="26"/>
          <w:szCs w:val="26"/>
        </w:rPr>
        <w:t>Dieciocho mil cuatrocientos noventa y cinco pesos 00/100 Moneda Nacional</w:t>
      </w:r>
      <w:r w:rsidR="00FE7DBB">
        <w:rPr>
          <w:rFonts w:asciiTheme="minorHAnsi" w:hAnsiTheme="minorHAnsi" w:cstheme="minorHAnsi"/>
          <w:color w:val="767171" w:themeColor="background2" w:themeShade="80"/>
          <w:sz w:val="26"/>
          <w:szCs w:val="26"/>
        </w:rPr>
        <w:t>)</w:t>
      </w:r>
      <w:r w:rsidRPr="00592CAC">
        <w:rPr>
          <w:rFonts w:asciiTheme="minorHAnsi" w:hAnsiTheme="minorHAnsi" w:cstheme="minorHAnsi"/>
          <w:color w:val="767171" w:themeColor="background2" w:themeShade="80"/>
          <w:sz w:val="26"/>
          <w:szCs w:val="26"/>
        </w:rPr>
        <w:t>;</w:t>
      </w:r>
      <w:r w:rsidRPr="00592CAC">
        <w:rPr>
          <w:rFonts w:ascii="Calibri" w:hAnsi="Calibri"/>
          <w:bCs/>
          <w:color w:val="767171" w:themeColor="background2" w:themeShade="80"/>
          <w:sz w:val="26"/>
          <w:szCs w:val="27"/>
        </w:rPr>
        <w:t xml:space="preserve"> al estimarla ilegal</w:t>
      </w:r>
      <w:r w:rsidR="0030634B">
        <w:rPr>
          <w:rFonts w:ascii="Calibri" w:hAnsi="Calibri"/>
          <w:bCs/>
          <w:color w:val="767171" w:themeColor="background2" w:themeShade="80"/>
          <w:sz w:val="26"/>
          <w:szCs w:val="27"/>
        </w:rPr>
        <w:t>,</w:t>
      </w:r>
      <w:r w:rsidRPr="00592CAC">
        <w:rPr>
          <w:rFonts w:ascii="Calibri" w:hAnsi="Calibri"/>
          <w:bCs/>
          <w:color w:val="767171" w:themeColor="background2" w:themeShade="80"/>
          <w:sz w:val="26"/>
          <w:szCs w:val="27"/>
        </w:rPr>
        <w:t xml:space="preserve"> por no </w:t>
      </w:r>
      <w:r w:rsidR="00275718">
        <w:rPr>
          <w:rFonts w:ascii="Calibri" w:hAnsi="Calibri"/>
          <w:bCs/>
          <w:color w:val="767171" w:themeColor="background2" w:themeShade="80"/>
          <w:sz w:val="26"/>
          <w:szCs w:val="27"/>
        </w:rPr>
        <w:t xml:space="preserve">acreditar debidamente la competencia, no </w:t>
      </w:r>
      <w:r w:rsidRPr="00592CAC">
        <w:rPr>
          <w:rFonts w:ascii="Calibri" w:hAnsi="Calibri"/>
          <w:bCs/>
          <w:color w:val="767171" w:themeColor="background2" w:themeShade="80"/>
          <w:sz w:val="26"/>
          <w:szCs w:val="27"/>
        </w:rPr>
        <w:t xml:space="preserve">haberse emitido conforme a las reglas aplicables y sin seguir las formalidades esenciales. . </w:t>
      </w:r>
      <w:r w:rsidR="0030634B">
        <w:rPr>
          <w:rFonts w:ascii="Calibri" w:hAnsi="Calibri"/>
          <w:bCs/>
          <w:color w:val="767171" w:themeColor="background2" w:themeShade="80"/>
          <w:sz w:val="26"/>
          <w:szCs w:val="27"/>
        </w:rPr>
        <w:t xml:space="preserve">. . . . . . . </w:t>
      </w:r>
      <w:r w:rsidR="00275718">
        <w:rPr>
          <w:rFonts w:ascii="Calibri" w:hAnsi="Calibri"/>
          <w:bCs/>
          <w:color w:val="767171" w:themeColor="background2" w:themeShade="80"/>
          <w:sz w:val="26"/>
          <w:szCs w:val="27"/>
        </w:rPr>
        <w:t xml:space="preserve">. . . . . . . . . . . . . . . . . . . . . . . . . . . . . . . . . . . . . . . . </w:t>
      </w:r>
    </w:p>
    <w:p w:rsidR="00570159" w:rsidRPr="00592CAC" w:rsidRDefault="00570159" w:rsidP="00570159">
      <w:pPr>
        <w:pStyle w:val="Textoindependiente"/>
        <w:ind w:firstLine="708"/>
        <w:jc w:val="both"/>
        <w:rPr>
          <w:rFonts w:ascii="Calibri" w:hAnsi="Calibri"/>
          <w:bCs/>
          <w:color w:val="767171" w:themeColor="background2" w:themeShade="80"/>
          <w:sz w:val="26"/>
          <w:szCs w:val="27"/>
        </w:rPr>
      </w:pPr>
    </w:p>
    <w:p w:rsidR="00570159" w:rsidRPr="00592CAC" w:rsidRDefault="00570159" w:rsidP="00570159">
      <w:pPr>
        <w:pStyle w:val="Textoindependienteprimerasangra"/>
        <w:ind w:firstLine="708"/>
        <w:jc w:val="both"/>
        <w:rPr>
          <w:rFonts w:asciiTheme="minorHAnsi" w:hAnsiTheme="minorHAnsi" w:cstheme="minorHAnsi"/>
          <w:color w:val="767171" w:themeColor="background2" w:themeShade="80"/>
          <w:sz w:val="26"/>
          <w:szCs w:val="26"/>
        </w:rPr>
      </w:pPr>
      <w:r w:rsidRPr="00592CAC">
        <w:rPr>
          <w:rFonts w:ascii="Calibri" w:hAnsi="Calibri" w:cs="Calibri"/>
          <w:color w:val="767171" w:themeColor="background2" w:themeShade="80"/>
          <w:sz w:val="26"/>
          <w:szCs w:val="26"/>
        </w:rPr>
        <w:t>En esta virtud, si el punto fundamental y único de la pretensión de</w:t>
      </w:r>
      <w:r w:rsidR="00EF416E">
        <w:rPr>
          <w:rFonts w:ascii="Calibri" w:hAnsi="Calibri" w:cs="Calibri"/>
          <w:color w:val="767171" w:themeColor="background2" w:themeShade="80"/>
          <w:sz w:val="26"/>
          <w:szCs w:val="26"/>
        </w:rPr>
        <w:t xml:space="preserve"> </w:t>
      </w:r>
      <w:r w:rsidRPr="00592CAC">
        <w:rPr>
          <w:rFonts w:ascii="Calibri" w:hAnsi="Calibri" w:cs="Calibri"/>
          <w:color w:val="767171" w:themeColor="background2" w:themeShade="80"/>
          <w:sz w:val="26"/>
          <w:szCs w:val="26"/>
        </w:rPr>
        <w:t>l</w:t>
      </w:r>
      <w:r w:rsidR="00EF416E">
        <w:rPr>
          <w:rFonts w:ascii="Calibri" w:hAnsi="Calibri" w:cs="Calibri"/>
          <w:color w:val="767171" w:themeColor="background2" w:themeShade="80"/>
          <w:sz w:val="26"/>
          <w:szCs w:val="26"/>
        </w:rPr>
        <w:t>a</w:t>
      </w:r>
      <w:r w:rsidRPr="00592CAC">
        <w:rPr>
          <w:rFonts w:ascii="Calibri" w:hAnsi="Calibri" w:cs="Calibri"/>
          <w:color w:val="767171" w:themeColor="background2" w:themeShade="80"/>
          <w:sz w:val="26"/>
          <w:szCs w:val="26"/>
        </w:rPr>
        <w:t xml:space="preserve"> actor</w:t>
      </w:r>
      <w:r w:rsidR="00EF416E">
        <w:rPr>
          <w:rFonts w:ascii="Calibri" w:hAnsi="Calibri" w:cs="Calibri"/>
          <w:color w:val="767171" w:themeColor="background2" w:themeShade="80"/>
          <w:sz w:val="26"/>
          <w:szCs w:val="26"/>
        </w:rPr>
        <w:t>a</w:t>
      </w:r>
      <w:r w:rsidRPr="00592CAC">
        <w:rPr>
          <w:rFonts w:ascii="Calibri" w:hAnsi="Calibri" w:cs="Calibri"/>
          <w:color w:val="767171" w:themeColor="background2" w:themeShade="80"/>
          <w:sz w:val="26"/>
          <w:szCs w:val="26"/>
        </w:rPr>
        <w:t xml:space="preserve"> estriba en que se </w:t>
      </w:r>
      <w:r w:rsidR="00624F44">
        <w:rPr>
          <w:rFonts w:ascii="Calibri" w:hAnsi="Calibri" w:cs="Calibri"/>
          <w:color w:val="767171" w:themeColor="background2" w:themeShade="80"/>
          <w:sz w:val="26"/>
          <w:szCs w:val="26"/>
        </w:rPr>
        <w:t>decrete</w:t>
      </w:r>
      <w:r w:rsidRPr="00592CAC">
        <w:rPr>
          <w:rFonts w:ascii="Calibri" w:hAnsi="Calibri" w:cs="Calibri"/>
          <w:color w:val="767171" w:themeColor="background2" w:themeShade="80"/>
          <w:sz w:val="26"/>
          <w:szCs w:val="26"/>
        </w:rPr>
        <w:t xml:space="preserve"> la nulidad del acto impugnado, (tal y como lo establece en su escrito de demanda </w:t>
      </w:r>
      <w:r w:rsidR="00EF416E">
        <w:rPr>
          <w:rFonts w:ascii="Calibri" w:hAnsi="Calibri" w:cs="Calibri"/>
          <w:color w:val="767171" w:themeColor="background2" w:themeShade="80"/>
          <w:sz w:val="26"/>
          <w:szCs w:val="26"/>
        </w:rPr>
        <w:t>en el capítulo de las pretensiones intentadas;</w:t>
      </w:r>
      <w:r w:rsidRPr="00592CAC">
        <w:rPr>
          <w:rFonts w:ascii="Calibri" w:hAnsi="Calibri" w:cs="Calibri"/>
          <w:color w:val="767171" w:themeColor="background2" w:themeShade="80"/>
          <w:sz w:val="26"/>
          <w:szCs w:val="26"/>
        </w:rPr>
        <w:t xml:space="preserve"> </w:t>
      </w:r>
      <w:r w:rsidR="00797F9A">
        <w:rPr>
          <w:rFonts w:ascii="Calibri" w:hAnsi="Calibri" w:cs="Calibri"/>
          <w:color w:val="767171" w:themeColor="background2" w:themeShade="80"/>
          <w:sz w:val="26"/>
          <w:szCs w:val="26"/>
        </w:rPr>
        <w:t xml:space="preserve">lo </w:t>
      </w:r>
      <w:r w:rsidRPr="00592CAC">
        <w:rPr>
          <w:rFonts w:ascii="Calibri" w:hAnsi="Calibri" w:cs="Calibri"/>
          <w:color w:val="767171" w:themeColor="background2" w:themeShade="80"/>
          <w:sz w:val="26"/>
          <w:szCs w:val="26"/>
        </w:rPr>
        <w:t xml:space="preserve">que no es otra cosa que la nada jurídica; lo que se traduce en la ineficacia para producir sus efectos; luego entonces </w:t>
      </w:r>
      <w:r w:rsidRPr="00592CAC">
        <w:rPr>
          <w:rFonts w:ascii="Calibri" w:hAnsi="Calibri" w:cs="Calibri"/>
          <w:b/>
          <w:color w:val="767171" w:themeColor="background2" w:themeShade="80"/>
          <w:sz w:val="26"/>
          <w:szCs w:val="26"/>
        </w:rPr>
        <w:t>al revocar,</w:t>
      </w:r>
      <w:r w:rsidRPr="00592CAC">
        <w:rPr>
          <w:rFonts w:ascii="Calibri" w:hAnsi="Calibri" w:cs="Calibri"/>
          <w:color w:val="767171" w:themeColor="background2" w:themeShade="80"/>
          <w:sz w:val="26"/>
          <w:szCs w:val="26"/>
        </w:rPr>
        <w:t xml:space="preserve"> el Gerente </w:t>
      </w:r>
      <w:r w:rsidR="00624F44">
        <w:rPr>
          <w:rFonts w:ascii="Calibri" w:hAnsi="Calibri" w:cs="Calibri"/>
          <w:color w:val="767171" w:themeColor="background2" w:themeShade="80"/>
          <w:sz w:val="26"/>
          <w:szCs w:val="26"/>
        </w:rPr>
        <w:t>de Tratamiento y R</w:t>
      </w:r>
      <w:r w:rsidR="00797F9A">
        <w:rPr>
          <w:rFonts w:ascii="Calibri" w:hAnsi="Calibri" w:cs="Calibri"/>
          <w:color w:val="767171" w:themeColor="background2" w:themeShade="80"/>
          <w:sz w:val="26"/>
          <w:szCs w:val="26"/>
        </w:rPr>
        <w:t xml:space="preserve">eúso, </w:t>
      </w:r>
      <w:r w:rsidRPr="00592CAC">
        <w:rPr>
          <w:rFonts w:ascii="Calibri" w:hAnsi="Calibri" w:cs="Calibri"/>
          <w:color w:val="767171" w:themeColor="background2" w:themeShade="80"/>
          <w:sz w:val="26"/>
          <w:szCs w:val="26"/>
        </w:rPr>
        <w:t>del Sistema de Agua Potable y Alcantarillado de León, Guanajuato</w:t>
      </w:r>
      <w:r w:rsidR="00797F9A">
        <w:rPr>
          <w:rFonts w:ascii="Calibri" w:hAnsi="Calibri" w:cs="Calibri"/>
          <w:color w:val="767171" w:themeColor="background2" w:themeShade="80"/>
          <w:sz w:val="26"/>
          <w:szCs w:val="26"/>
        </w:rPr>
        <w:t xml:space="preserve"> como superior jerárquico del Jefe de Fiscalización Ecológica</w:t>
      </w:r>
      <w:r w:rsidRPr="00592CAC">
        <w:rPr>
          <w:rFonts w:ascii="Calibri" w:hAnsi="Calibri" w:cs="Calibri"/>
          <w:color w:val="767171" w:themeColor="background2" w:themeShade="80"/>
          <w:sz w:val="26"/>
          <w:szCs w:val="26"/>
        </w:rPr>
        <w:t xml:space="preserve">; mediante el acuerdo de fecha </w:t>
      </w:r>
      <w:r w:rsidR="00797F9A">
        <w:rPr>
          <w:rFonts w:ascii="Calibri" w:hAnsi="Calibri" w:cs="Calibri"/>
          <w:color w:val="767171" w:themeColor="background2" w:themeShade="80"/>
          <w:sz w:val="26"/>
          <w:szCs w:val="26"/>
        </w:rPr>
        <w:t>30</w:t>
      </w:r>
      <w:r w:rsidRPr="00592CAC">
        <w:rPr>
          <w:rFonts w:ascii="Calibri" w:hAnsi="Calibri" w:cs="Calibri"/>
          <w:color w:val="767171" w:themeColor="background2" w:themeShade="80"/>
          <w:sz w:val="26"/>
          <w:szCs w:val="26"/>
        </w:rPr>
        <w:t xml:space="preserve"> </w:t>
      </w:r>
      <w:r w:rsidR="00797F9A">
        <w:rPr>
          <w:rFonts w:ascii="Calibri" w:hAnsi="Calibri" w:cs="Calibri"/>
          <w:color w:val="767171" w:themeColor="background2" w:themeShade="80"/>
          <w:sz w:val="26"/>
          <w:szCs w:val="26"/>
        </w:rPr>
        <w:t>treinta de enero del presente año</w:t>
      </w:r>
      <w:r w:rsidRPr="00592CAC">
        <w:rPr>
          <w:rFonts w:ascii="Calibri" w:hAnsi="Calibri" w:cs="Calibri"/>
          <w:color w:val="767171" w:themeColor="background2" w:themeShade="80"/>
          <w:sz w:val="26"/>
          <w:szCs w:val="26"/>
        </w:rPr>
        <w:t xml:space="preserve">, (localizable a foja </w:t>
      </w:r>
      <w:r w:rsidR="00797F9A">
        <w:rPr>
          <w:rFonts w:ascii="Calibri" w:hAnsi="Calibri" w:cs="Calibri"/>
          <w:color w:val="767171" w:themeColor="background2" w:themeShade="80"/>
          <w:sz w:val="26"/>
          <w:szCs w:val="26"/>
        </w:rPr>
        <w:t>91 noventa y uno</w:t>
      </w:r>
      <w:r w:rsidRPr="00592CAC">
        <w:rPr>
          <w:rFonts w:ascii="Calibri" w:hAnsi="Calibri" w:cs="Calibri"/>
          <w:color w:val="767171" w:themeColor="background2" w:themeShade="80"/>
          <w:sz w:val="26"/>
          <w:szCs w:val="26"/>
        </w:rPr>
        <w:t xml:space="preserve"> del expediente), la resoluci</w:t>
      </w:r>
      <w:r w:rsidR="001F4B94">
        <w:rPr>
          <w:rFonts w:ascii="Calibri" w:hAnsi="Calibri" w:cs="Calibri"/>
          <w:color w:val="767171" w:themeColor="background2" w:themeShade="80"/>
          <w:sz w:val="26"/>
          <w:szCs w:val="26"/>
        </w:rPr>
        <w:t>ó</w:t>
      </w:r>
      <w:r w:rsidRPr="00592CAC">
        <w:rPr>
          <w:rFonts w:ascii="Calibri" w:hAnsi="Calibri" w:cs="Calibri"/>
          <w:color w:val="767171" w:themeColor="background2" w:themeShade="80"/>
          <w:sz w:val="26"/>
          <w:szCs w:val="26"/>
        </w:rPr>
        <w:t>n controvertida en este proceso</w:t>
      </w:r>
      <w:r w:rsidRPr="00592CAC">
        <w:rPr>
          <w:rFonts w:ascii="Calibri" w:hAnsi="Calibri"/>
          <w:bCs/>
          <w:color w:val="767171" w:themeColor="background2" w:themeShade="80"/>
          <w:sz w:val="26"/>
          <w:szCs w:val="27"/>
        </w:rPr>
        <w:t xml:space="preserve">, </w:t>
      </w:r>
      <w:r w:rsidRPr="00592CAC">
        <w:rPr>
          <w:rFonts w:ascii="Calibri" w:hAnsi="Calibri" w:cs="Calibri"/>
          <w:color w:val="767171" w:themeColor="background2" w:themeShade="80"/>
          <w:sz w:val="26"/>
          <w:szCs w:val="26"/>
        </w:rPr>
        <w:t>que no es otra cosa que su extinción legal</w:t>
      </w:r>
      <w:r w:rsidRPr="00592CAC">
        <w:rPr>
          <w:rFonts w:ascii="Calibri" w:hAnsi="Calibri"/>
          <w:bCs/>
          <w:color w:val="767171" w:themeColor="background2" w:themeShade="80"/>
          <w:sz w:val="26"/>
          <w:szCs w:val="27"/>
        </w:rPr>
        <w:t xml:space="preserve">; </w:t>
      </w:r>
      <w:r w:rsidRPr="00592CAC">
        <w:rPr>
          <w:rFonts w:ascii="Calibri" w:hAnsi="Calibri"/>
          <w:b/>
          <w:bCs/>
          <w:color w:val="767171" w:themeColor="background2" w:themeShade="80"/>
          <w:sz w:val="26"/>
          <w:szCs w:val="27"/>
        </w:rPr>
        <w:t>se satisface plenamente la pretensión</w:t>
      </w:r>
      <w:r w:rsidRPr="00592CAC">
        <w:rPr>
          <w:rFonts w:ascii="Calibri" w:hAnsi="Calibri"/>
          <w:bCs/>
          <w:color w:val="767171" w:themeColor="background2" w:themeShade="80"/>
          <w:sz w:val="26"/>
          <w:szCs w:val="27"/>
        </w:rPr>
        <w:t xml:space="preserve"> de la parte actora, lo que trae como consecuencia que ya no exista </w:t>
      </w:r>
      <w:r w:rsidRPr="00592CAC">
        <w:rPr>
          <w:rFonts w:ascii="Calibri" w:hAnsi="Calibri" w:cs="Calibri"/>
          <w:color w:val="767171" w:themeColor="background2" w:themeShade="80"/>
          <w:sz w:val="26"/>
          <w:szCs w:val="26"/>
        </w:rPr>
        <w:t xml:space="preserve">materia sobre la cual deba resolverse, al configurarse la causal de </w:t>
      </w:r>
      <w:r w:rsidRPr="00592CAC">
        <w:rPr>
          <w:rFonts w:ascii="Calibri" w:hAnsi="Calibri" w:cs="Calibri"/>
          <w:b/>
          <w:bCs/>
          <w:color w:val="767171" w:themeColor="background2" w:themeShade="80"/>
          <w:sz w:val="26"/>
          <w:szCs w:val="26"/>
        </w:rPr>
        <w:t>Sobreseimiento</w:t>
      </w:r>
      <w:r w:rsidRPr="00592CAC">
        <w:rPr>
          <w:rFonts w:ascii="Calibri" w:hAnsi="Calibri" w:cs="Calibri"/>
          <w:color w:val="767171" w:themeColor="background2" w:themeShade="80"/>
          <w:sz w:val="26"/>
          <w:szCs w:val="26"/>
        </w:rPr>
        <w:t xml:space="preserve">, prevista en la fracción IV, del artículo 262, del Código de Procedimiento y Justicia  Administrativa para el Estado y los </w:t>
      </w:r>
      <w:r w:rsidRPr="00592CAC">
        <w:rPr>
          <w:rFonts w:ascii="Calibri" w:hAnsi="Calibri" w:cs="Calibri"/>
          <w:color w:val="767171" w:themeColor="background2" w:themeShade="80"/>
          <w:sz w:val="26"/>
          <w:szCs w:val="26"/>
        </w:rPr>
        <w:lastRenderedPageBreak/>
        <w:t xml:space="preserve">Municipios de Guanajuato, por lo que procede </w:t>
      </w:r>
      <w:r w:rsidRPr="00592CAC">
        <w:rPr>
          <w:rFonts w:ascii="Calibri" w:hAnsi="Calibri" w:cs="Calibri"/>
          <w:b/>
          <w:color w:val="767171" w:themeColor="background2" w:themeShade="80"/>
          <w:sz w:val="26"/>
          <w:szCs w:val="26"/>
        </w:rPr>
        <w:t>sobreseer</w:t>
      </w:r>
      <w:r w:rsidRPr="00592CAC">
        <w:rPr>
          <w:rFonts w:ascii="Calibri" w:hAnsi="Calibri" w:cs="Calibri"/>
          <w:color w:val="767171" w:themeColor="background2" w:themeShade="80"/>
          <w:sz w:val="26"/>
          <w:szCs w:val="26"/>
        </w:rPr>
        <w:t xml:space="preserve"> el present</w:t>
      </w:r>
      <w:r w:rsidR="00275718">
        <w:rPr>
          <w:rFonts w:ascii="Calibri" w:hAnsi="Calibri" w:cs="Calibri"/>
          <w:color w:val="767171" w:themeColor="background2" w:themeShade="80"/>
          <w:sz w:val="26"/>
          <w:szCs w:val="26"/>
        </w:rPr>
        <w:t xml:space="preserve">e proceso administrativo. . . </w:t>
      </w:r>
    </w:p>
    <w:p w:rsidR="00570159" w:rsidRPr="00592CAC" w:rsidRDefault="00570159" w:rsidP="00570159">
      <w:pPr>
        <w:pStyle w:val="NormalWeb"/>
        <w:ind w:firstLine="708"/>
        <w:jc w:val="both"/>
        <w:rPr>
          <w:rFonts w:ascii="Calibri" w:hAnsi="Calibri" w:cs="Calibri"/>
          <w:color w:val="767171" w:themeColor="background2" w:themeShade="80"/>
          <w:sz w:val="26"/>
          <w:szCs w:val="26"/>
        </w:rPr>
      </w:pPr>
      <w:r w:rsidRPr="00592CAC">
        <w:rPr>
          <w:rFonts w:ascii="Calibri" w:hAnsi="Calibri" w:cs="Calibri"/>
          <w:color w:val="767171" w:themeColor="background2" w:themeShade="80"/>
          <w:sz w:val="26"/>
          <w:szCs w:val="26"/>
        </w:rPr>
        <w:t xml:space="preserve">Lo anterior concuerda plenamente con el criterio sostenido por el Pleno del Tribunal de Justicia Administrativa del Estado de Guanajuato, visible en la página 34 treinta y cuatro, de la publicación que contiene los </w:t>
      </w:r>
      <w:r w:rsidRPr="00592CAC">
        <w:rPr>
          <w:rFonts w:ascii="Calibri" w:hAnsi="Calibri" w:cs="Calibri"/>
          <w:i/>
          <w:color w:val="767171" w:themeColor="background2" w:themeShade="80"/>
          <w:sz w:val="26"/>
          <w:szCs w:val="26"/>
        </w:rPr>
        <w:t>“Criterios 2000-2008”</w:t>
      </w:r>
      <w:r w:rsidRPr="00592CAC">
        <w:rPr>
          <w:rFonts w:ascii="Calibri" w:hAnsi="Calibri" w:cs="Calibri"/>
          <w:color w:val="767171" w:themeColor="background2" w:themeShade="80"/>
          <w:sz w:val="26"/>
          <w:szCs w:val="26"/>
        </w:rPr>
        <w:t xml:space="preserve"> de dicho Tribunal, el cual señala: . . . . . . . . . . . . . . . . . . . . . . . . . . . . . . . . . . . </w:t>
      </w:r>
    </w:p>
    <w:p w:rsidR="00570159" w:rsidRPr="00592CAC" w:rsidRDefault="00570159" w:rsidP="00570159">
      <w:pPr>
        <w:ind w:firstLine="708"/>
        <w:jc w:val="both"/>
        <w:rPr>
          <w:rFonts w:ascii="Calibri" w:hAnsi="Calibri"/>
          <w:bCs/>
          <w:color w:val="767171" w:themeColor="background2" w:themeShade="80"/>
          <w:sz w:val="26"/>
          <w:szCs w:val="26"/>
        </w:rPr>
      </w:pPr>
      <w:r w:rsidRPr="00592CAC">
        <w:rPr>
          <w:rFonts w:ascii="Calibri" w:hAnsi="Calibri" w:cs="Calibri"/>
          <w:i/>
          <w:iCs/>
          <w:color w:val="767171" w:themeColor="background2" w:themeShade="80"/>
          <w:sz w:val="26"/>
          <w:szCs w:val="26"/>
        </w:rPr>
        <w:t>“</w:t>
      </w:r>
      <w:r w:rsidRPr="00592CAC">
        <w:rPr>
          <w:rFonts w:ascii="Calibri" w:hAnsi="Calibri" w:cs="Calibri"/>
          <w:b/>
          <w:bCs/>
          <w:i/>
          <w:iCs/>
          <w:color w:val="767171" w:themeColor="background2" w:themeShade="80"/>
          <w:sz w:val="26"/>
          <w:szCs w:val="26"/>
        </w:rPr>
        <w:t>SOBRESEIMIENTO DEL JUICIO POR REVOCACIÓN DEL ACTO IMPUGNADO</w:t>
      </w:r>
      <w:r w:rsidRPr="00592CAC">
        <w:rPr>
          <w:rFonts w:ascii="Calibri" w:hAnsi="Calibri" w:cs="Calibri"/>
          <w:i/>
          <w:iCs/>
          <w:color w:val="767171" w:themeColor="background2" w:themeShade="80"/>
          <w:sz w:val="26"/>
          <w:szCs w:val="26"/>
        </w:rPr>
        <w:t>.-  La causal de sobreseimiento prevista en la fracción V del artículo 58 de la vigente Ley de Justicia Administrativa de Guanajuato, es procedente con el solo hecho de que las autoridades demandadas aporten, a la Sala del conocimiento, el documento en que conste la revocación del acto que se le imputa, pues con ello se colma la exigencia que señala el último párrafo del artículo 76 de la Ley de la Materia, siempre y cuando de las constancias que integren el expediente, y, primordialmente, de la demanda, no se desprenda una pretensión no satisfecha y suficientemente acreditada por la parte actora.”</w:t>
      </w:r>
      <w:r w:rsidRPr="00592CAC">
        <w:rPr>
          <w:rFonts w:ascii="Calibri" w:hAnsi="Calibri" w:cs="Calibri"/>
          <w:color w:val="767171" w:themeColor="background2" w:themeShade="80"/>
          <w:sz w:val="20"/>
          <w:szCs w:val="26"/>
        </w:rPr>
        <w:t xml:space="preserve">(Resolución de fecha 9 de mayo del 2001; Toca 34/01; Recurso de Reclamación promovido por la C. Lic. Anabel Pulido López). </w:t>
      </w:r>
      <w:r w:rsidRPr="00592CAC">
        <w:rPr>
          <w:rFonts w:ascii="Calibri" w:hAnsi="Calibri" w:cs="Calibri"/>
          <w:color w:val="767171" w:themeColor="background2" w:themeShade="80"/>
          <w:sz w:val="26"/>
          <w:szCs w:val="26"/>
        </w:rPr>
        <w:t xml:space="preserve">. . . </w:t>
      </w:r>
      <w:r w:rsidR="00275718">
        <w:rPr>
          <w:rFonts w:ascii="Calibri" w:hAnsi="Calibri" w:cs="Calibri"/>
          <w:color w:val="767171" w:themeColor="background2" w:themeShade="80"/>
          <w:sz w:val="26"/>
          <w:szCs w:val="26"/>
        </w:rPr>
        <w:t>. . . . . . . . . . . . . . . . . . . . . . . . . . . . . . . . . . . . . . . . . . . . . .</w:t>
      </w:r>
    </w:p>
    <w:p w:rsidR="00570159" w:rsidRPr="00592CAC" w:rsidRDefault="00570159" w:rsidP="00570159">
      <w:pPr>
        <w:pStyle w:val="NormalWeb"/>
        <w:ind w:firstLine="708"/>
        <w:jc w:val="both"/>
        <w:rPr>
          <w:rFonts w:ascii="Calibri" w:hAnsi="Calibri" w:cs="Calibri"/>
          <w:color w:val="767171" w:themeColor="background2" w:themeShade="80"/>
          <w:sz w:val="26"/>
          <w:szCs w:val="26"/>
        </w:rPr>
      </w:pPr>
      <w:r w:rsidRPr="00592CAC">
        <w:rPr>
          <w:rFonts w:ascii="Calibri" w:hAnsi="Calibri" w:cs="Calibri"/>
          <w:color w:val="767171" w:themeColor="background2" w:themeShade="80"/>
          <w:sz w:val="26"/>
          <w:szCs w:val="26"/>
        </w:rPr>
        <w:t>Lo anterior, tomando en cuenta que no es posible el dictado ya, de una resolución de nulidad total como lo solicitó la parte actora en su escrito de demanda; porque al haberse revocado y dejado sin efecto l</w:t>
      </w:r>
      <w:r w:rsidR="0031271B">
        <w:rPr>
          <w:rFonts w:ascii="Calibri" w:hAnsi="Calibri" w:cs="Calibri"/>
          <w:color w:val="767171" w:themeColor="background2" w:themeShade="80"/>
          <w:sz w:val="26"/>
          <w:szCs w:val="26"/>
        </w:rPr>
        <w:t>a</w:t>
      </w:r>
      <w:r w:rsidRPr="00592CAC">
        <w:rPr>
          <w:rFonts w:ascii="Calibri" w:hAnsi="Calibri" w:cs="Calibri"/>
          <w:color w:val="767171" w:themeColor="background2" w:themeShade="80"/>
          <w:sz w:val="26"/>
          <w:szCs w:val="26"/>
        </w:rPr>
        <w:t xml:space="preserve"> </w:t>
      </w:r>
      <w:r w:rsidR="0031271B">
        <w:rPr>
          <w:rFonts w:ascii="Calibri" w:hAnsi="Calibri" w:cs="Calibri"/>
          <w:color w:val="767171" w:themeColor="background2" w:themeShade="80"/>
          <w:sz w:val="26"/>
          <w:szCs w:val="26"/>
        </w:rPr>
        <w:t>resolución</w:t>
      </w:r>
      <w:r w:rsidRPr="00592CAC">
        <w:rPr>
          <w:rFonts w:ascii="Calibri" w:hAnsi="Calibri" w:cs="Calibri"/>
          <w:color w:val="767171" w:themeColor="background2" w:themeShade="80"/>
          <w:sz w:val="26"/>
          <w:szCs w:val="26"/>
        </w:rPr>
        <w:t xml:space="preserve"> impugnad</w:t>
      </w:r>
      <w:r w:rsidR="0031271B">
        <w:rPr>
          <w:rFonts w:ascii="Calibri" w:hAnsi="Calibri" w:cs="Calibri"/>
          <w:color w:val="767171" w:themeColor="background2" w:themeShade="80"/>
          <w:sz w:val="26"/>
          <w:szCs w:val="26"/>
        </w:rPr>
        <w:t>a</w:t>
      </w:r>
      <w:r w:rsidRPr="00592CAC">
        <w:rPr>
          <w:rFonts w:ascii="Calibri" w:hAnsi="Calibri" w:cs="Calibri"/>
          <w:color w:val="767171" w:themeColor="background2" w:themeShade="80"/>
          <w:sz w:val="26"/>
          <w:szCs w:val="26"/>
        </w:rPr>
        <w:t xml:space="preserve">, ya no existe jurídicamente </w:t>
      </w:r>
      <w:r w:rsidR="00275718">
        <w:rPr>
          <w:rFonts w:ascii="Calibri" w:hAnsi="Calibri" w:cs="Calibri"/>
          <w:color w:val="767171" w:themeColor="background2" w:themeShade="80"/>
          <w:sz w:val="26"/>
          <w:szCs w:val="26"/>
        </w:rPr>
        <w:t>e</w:t>
      </w:r>
      <w:r w:rsidRPr="00592CAC">
        <w:rPr>
          <w:rFonts w:ascii="Calibri" w:hAnsi="Calibri" w:cs="Calibri"/>
          <w:color w:val="767171" w:themeColor="background2" w:themeShade="80"/>
          <w:sz w:val="26"/>
          <w:szCs w:val="26"/>
        </w:rPr>
        <w:t>l acto del que se dolía la impetrante; siendo evidente que no puede anularse lo que no existe; que es precis</w:t>
      </w:r>
      <w:r w:rsidR="00624F44">
        <w:rPr>
          <w:rFonts w:ascii="Calibri" w:hAnsi="Calibri" w:cs="Calibri"/>
          <w:color w:val="767171" w:themeColor="background2" w:themeShade="80"/>
          <w:sz w:val="26"/>
          <w:szCs w:val="26"/>
        </w:rPr>
        <w:t>amente lo que ocurrió al haber</w:t>
      </w:r>
      <w:r w:rsidRPr="00592CAC">
        <w:rPr>
          <w:rFonts w:ascii="Calibri" w:hAnsi="Calibri" w:cs="Calibri"/>
          <w:color w:val="767171" w:themeColor="background2" w:themeShade="80"/>
          <w:sz w:val="26"/>
          <w:szCs w:val="26"/>
        </w:rPr>
        <w:t xml:space="preserve"> revocado</w:t>
      </w:r>
      <w:r w:rsidR="00624F44">
        <w:rPr>
          <w:rFonts w:ascii="Calibri" w:hAnsi="Calibri" w:cs="Calibri"/>
          <w:color w:val="767171" w:themeColor="background2" w:themeShade="80"/>
          <w:sz w:val="26"/>
          <w:szCs w:val="26"/>
        </w:rPr>
        <w:t xml:space="preserve"> la resolución controvertida, e</w:t>
      </w:r>
      <w:r w:rsidRPr="00592CAC">
        <w:rPr>
          <w:rFonts w:ascii="Calibri" w:hAnsi="Calibri" w:cs="Calibri"/>
          <w:color w:val="767171" w:themeColor="background2" w:themeShade="80"/>
          <w:sz w:val="26"/>
          <w:szCs w:val="26"/>
        </w:rPr>
        <w:t xml:space="preserve">l Gerente </w:t>
      </w:r>
      <w:r w:rsidR="0031271B">
        <w:rPr>
          <w:rFonts w:ascii="Calibri" w:hAnsi="Calibri" w:cs="Calibri"/>
          <w:color w:val="767171" w:themeColor="background2" w:themeShade="80"/>
          <w:sz w:val="26"/>
          <w:szCs w:val="26"/>
        </w:rPr>
        <w:t xml:space="preserve">de Tratamiento y reúso </w:t>
      </w:r>
      <w:r w:rsidRPr="00592CAC">
        <w:rPr>
          <w:rFonts w:ascii="Calibri" w:hAnsi="Calibri" w:cs="Calibri"/>
          <w:color w:val="767171" w:themeColor="background2" w:themeShade="80"/>
          <w:sz w:val="26"/>
          <w:szCs w:val="26"/>
        </w:rPr>
        <w:t xml:space="preserve">del Sistema de Agua Potable y Alcantarillado de León demandado; aunado a que los efectos de la sentencia únicamente pueden ser aquellos mencionados en el artículo 300 del Código de Procedimiento y Justicia Administrativa para el Estado y los Municipios de Guanajuato. . . . . . . . . . </w:t>
      </w:r>
      <w:r w:rsidR="00275718">
        <w:rPr>
          <w:rFonts w:ascii="Calibri" w:hAnsi="Calibri" w:cs="Calibri"/>
          <w:color w:val="767171" w:themeColor="background2" w:themeShade="80"/>
          <w:sz w:val="26"/>
          <w:szCs w:val="26"/>
        </w:rPr>
        <w:t xml:space="preserve">. . . . . . . </w:t>
      </w:r>
    </w:p>
    <w:p w:rsidR="00570159" w:rsidRPr="0031271B" w:rsidRDefault="00570159" w:rsidP="0031271B">
      <w:pPr>
        <w:pStyle w:val="NormalWeb"/>
        <w:ind w:firstLine="708"/>
        <w:jc w:val="both"/>
        <w:rPr>
          <w:rFonts w:ascii="Calibri" w:hAnsi="Calibri"/>
          <w:color w:val="767171" w:themeColor="background2" w:themeShade="80"/>
          <w:sz w:val="26"/>
        </w:rPr>
      </w:pPr>
      <w:r w:rsidRPr="00592CAC">
        <w:rPr>
          <w:rFonts w:ascii="Calibri" w:hAnsi="Calibri"/>
          <w:b/>
          <w:i/>
          <w:color w:val="767171" w:themeColor="background2" w:themeShade="80"/>
          <w:sz w:val="26"/>
          <w:szCs w:val="27"/>
        </w:rPr>
        <w:t xml:space="preserve">SEXTO.- </w:t>
      </w:r>
      <w:r w:rsidRPr="00592CAC">
        <w:rPr>
          <w:rFonts w:ascii="Calibri" w:hAnsi="Calibri"/>
          <w:color w:val="767171" w:themeColor="background2" w:themeShade="80"/>
          <w:sz w:val="26"/>
        </w:rPr>
        <w:t xml:space="preserve">En virtud de que se actualiza una causal que trae como consecuencia el que se sobresea el presente proceso administrativo; no se realizará el estudio de otras causales de improcedencia o sobreseimiento que </w:t>
      </w:r>
      <w:r w:rsidRPr="00592CAC">
        <w:rPr>
          <w:rFonts w:asciiTheme="minorHAnsi" w:hAnsiTheme="minorHAnsi" w:cstheme="minorHAnsi"/>
          <w:color w:val="767171" w:themeColor="background2" w:themeShade="80"/>
          <w:sz w:val="26"/>
          <w:szCs w:val="26"/>
        </w:rPr>
        <w:t xml:space="preserve"> pudieran actualizarse; pues ello no variaría el sentido de la presente resolución; ni se hará el estudio de los conceptos de impugnación expresados por la parte actora; </w:t>
      </w:r>
      <w:r w:rsidR="00275718">
        <w:rPr>
          <w:rFonts w:asciiTheme="minorHAnsi" w:hAnsiTheme="minorHAnsi" w:cstheme="minorHAnsi"/>
          <w:color w:val="767171" w:themeColor="background2" w:themeShade="80"/>
          <w:sz w:val="26"/>
          <w:szCs w:val="26"/>
        </w:rPr>
        <w:t xml:space="preserve">ni </w:t>
      </w:r>
      <w:r w:rsidR="00E56842">
        <w:rPr>
          <w:rFonts w:asciiTheme="minorHAnsi" w:hAnsiTheme="minorHAnsi" w:cstheme="minorHAnsi"/>
          <w:color w:val="767171" w:themeColor="background2" w:themeShade="80"/>
          <w:sz w:val="26"/>
          <w:szCs w:val="26"/>
        </w:rPr>
        <w:t xml:space="preserve">de </w:t>
      </w:r>
      <w:r w:rsidR="009A4D08">
        <w:rPr>
          <w:rFonts w:asciiTheme="minorHAnsi" w:hAnsiTheme="minorHAnsi" w:cstheme="minorHAnsi"/>
          <w:color w:val="767171" w:themeColor="background2" w:themeShade="80"/>
          <w:sz w:val="26"/>
          <w:szCs w:val="26"/>
        </w:rPr>
        <w:t xml:space="preserve">otras </w:t>
      </w:r>
      <w:r w:rsidR="00E56842">
        <w:rPr>
          <w:rFonts w:asciiTheme="minorHAnsi" w:hAnsiTheme="minorHAnsi" w:cstheme="minorHAnsi"/>
          <w:color w:val="767171" w:themeColor="background2" w:themeShade="80"/>
          <w:sz w:val="26"/>
          <w:szCs w:val="26"/>
        </w:rPr>
        <w:t>pruebas</w:t>
      </w:r>
      <w:r w:rsidR="009A4D08">
        <w:rPr>
          <w:rFonts w:asciiTheme="minorHAnsi" w:hAnsiTheme="minorHAnsi" w:cstheme="minorHAnsi"/>
          <w:color w:val="767171" w:themeColor="background2" w:themeShade="80"/>
          <w:sz w:val="26"/>
          <w:szCs w:val="26"/>
        </w:rPr>
        <w:t xml:space="preserve"> ofrecidas por las partes, diferentes al acuerdo por el que se dejó sin efectos la resolución impugnada;</w:t>
      </w:r>
      <w:r w:rsidR="00275718">
        <w:rPr>
          <w:rFonts w:asciiTheme="minorHAnsi" w:hAnsiTheme="minorHAnsi" w:cstheme="minorHAnsi"/>
          <w:color w:val="767171" w:themeColor="background2" w:themeShade="80"/>
          <w:sz w:val="26"/>
          <w:szCs w:val="26"/>
        </w:rPr>
        <w:t xml:space="preserve"> </w:t>
      </w:r>
      <w:r w:rsidRPr="00592CAC">
        <w:rPr>
          <w:rFonts w:asciiTheme="minorHAnsi" w:hAnsiTheme="minorHAnsi" w:cstheme="minorHAnsi"/>
          <w:color w:val="767171" w:themeColor="background2" w:themeShade="80"/>
          <w:sz w:val="26"/>
          <w:szCs w:val="26"/>
        </w:rPr>
        <w:t xml:space="preserve">pues la actualización de una causal de sobreseimiento impide conocer respecto del fondo del asunto. </w:t>
      </w:r>
      <w:r w:rsidRPr="00592CAC">
        <w:rPr>
          <w:rFonts w:ascii="Calibri" w:hAnsi="Calibri"/>
          <w:color w:val="767171" w:themeColor="background2" w:themeShade="80"/>
          <w:sz w:val="26"/>
        </w:rPr>
        <w:t>. . . .</w:t>
      </w:r>
      <w:r w:rsidR="009A4D08">
        <w:rPr>
          <w:rFonts w:ascii="Calibri" w:hAnsi="Calibri"/>
          <w:color w:val="767171" w:themeColor="background2" w:themeShade="80"/>
          <w:sz w:val="26"/>
        </w:rPr>
        <w:t xml:space="preserve"> . . . </w:t>
      </w:r>
    </w:p>
    <w:p w:rsidR="00570159" w:rsidRPr="00592CAC" w:rsidRDefault="00570159" w:rsidP="0031271B">
      <w:pPr>
        <w:pStyle w:val="Textoindependiente"/>
        <w:ind w:firstLine="708"/>
        <w:jc w:val="both"/>
        <w:rPr>
          <w:rFonts w:ascii="Calibri" w:hAnsi="Calibri"/>
          <w:color w:val="767171" w:themeColor="background2" w:themeShade="80"/>
          <w:sz w:val="26"/>
          <w:szCs w:val="26"/>
        </w:rPr>
      </w:pPr>
      <w:r w:rsidRPr="00592CAC">
        <w:rPr>
          <w:rFonts w:ascii="Calibri" w:hAnsi="Calibri" w:cs="Arial"/>
          <w:color w:val="767171" w:themeColor="background2" w:themeShade="80"/>
          <w:sz w:val="26"/>
          <w:szCs w:val="26"/>
        </w:rPr>
        <w:t xml:space="preserve">Por lo expuesto, y con fundamento además en lo dispuesto en los artículos 249, 262, fracción IV; 298 y 299, del </w:t>
      </w:r>
      <w:r w:rsidRPr="00592CAC">
        <w:rPr>
          <w:rFonts w:ascii="Calibri" w:hAnsi="Calibri"/>
          <w:color w:val="767171" w:themeColor="background2" w:themeShade="80"/>
          <w:sz w:val="26"/>
          <w:szCs w:val="26"/>
        </w:rPr>
        <w:t>Código de Procedimiento y Justicia Administrativa para el Estado y los Municipios de Guanajuato,</w:t>
      </w:r>
      <w:r w:rsidRPr="00592CAC">
        <w:rPr>
          <w:rFonts w:ascii="Calibri" w:hAnsi="Calibri" w:cs="Arial"/>
          <w:color w:val="767171" w:themeColor="background2" w:themeShade="80"/>
          <w:sz w:val="26"/>
          <w:szCs w:val="26"/>
        </w:rPr>
        <w:t xml:space="preserve"> es de resolverse y se. . . . . . . . . . . . . . . . . . . . . . . . . . . . . . . . . . . . . . . . . . . . . . . . . . . . . . . . . . . . . . . . . . . </w:t>
      </w:r>
    </w:p>
    <w:p w:rsidR="00570159" w:rsidRPr="00592CAC" w:rsidRDefault="00570159" w:rsidP="00570159">
      <w:pPr>
        <w:pStyle w:val="Textoindependiente"/>
        <w:jc w:val="both"/>
        <w:rPr>
          <w:rFonts w:ascii="Calibri" w:hAnsi="Calibri" w:cs="Arial"/>
          <w:color w:val="767171" w:themeColor="background2" w:themeShade="80"/>
          <w:sz w:val="20"/>
          <w:szCs w:val="20"/>
        </w:rPr>
      </w:pPr>
    </w:p>
    <w:p w:rsidR="00570159" w:rsidRPr="00592CAC" w:rsidRDefault="00570159" w:rsidP="00570159">
      <w:pPr>
        <w:pStyle w:val="Textoindependiente"/>
        <w:jc w:val="center"/>
        <w:rPr>
          <w:rFonts w:ascii="Calibri" w:hAnsi="Calibri" w:cs="Arial"/>
          <w:i/>
          <w:iCs/>
          <w:color w:val="767171" w:themeColor="background2" w:themeShade="80"/>
          <w:sz w:val="26"/>
          <w:szCs w:val="26"/>
        </w:rPr>
      </w:pPr>
      <w:r w:rsidRPr="00592CAC">
        <w:rPr>
          <w:rFonts w:ascii="Calibri" w:hAnsi="Calibri" w:cs="Arial"/>
          <w:b/>
          <w:i/>
          <w:iCs/>
          <w:color w:val="767171" w:themeColor="background2" w:themeShade="80"/>
          <w:sz w:val="26"/>
          <w:szCs w:val="26"/>
        </w:rPr>
        <w:t xml:space="preserve">R E S U E L V </w:t>
      </w:r>
      <w:proofErr w:type="gramStart"/>
      <w:r w:rsidRPr="00592CAC">
        <w:rPr>
          <w:rFonts w:ascii="Calibri" w:hAnsi="Calibri" w:cs="Arial"/>
          <w:b/>
          <w:i/>
          <w:iCs/>
          <w:color w:val="767171" w:themeColor="background2" w:themeShade="80"/>
          <w:sz w:val="26"/>
          <w:szCs w:val="26"/>
        </w:rPr>
        <w:t xml:space="preserve">E </w:t>
      </w:r>
      <w:r w:rsidRPr="00592CAC">
        <w:rPr>
          <w:rFonts w:ascii="Calibri" w:hAnsi="Calibri" w:cs="Arial"/>
          <w:i/>
          <w:iCs/>
          <w:color w:val="767171" w:themeColor="background2" w:themeShade="80"/>
          <w:sz w:val="26"/>
          <w:szCs w:val="26"/>
        </w:rPr>
        <w:t>:</w:t>
      </w:r>
      <w:proofErr w:type="gramEnd"/>
    </w:p>
    <w:p w:rsidR="00570159" w:rsidRPr="00592CAC" w:rsidRDefault="00570159" w:rsidP="00570159">
      <w:pPr>
        <w:pStyle w:val="Textoindependiente"/>
        <w:jc w:val="both"/>
        <w:rPr>
          <w:rFonts w:ascii="Calibri" w:hAnsi="Calibri" w:cs="Arial"/>
          <w:color w:val="767171" w:themeColor="background2" w:themeShade="80"/>
          <w:sz w:val="20"/>
          <w:szCs w:val="20"/>
        </w:rPr>
      </w:pPr>
    </w:p>
    <w:p w:rsidR="00570159" w:rsidRPr="00592CAC" w:rsidRDefault="00570159" w:rsidP="00570159">
      <w:pPr>
        <w:pStyle w:val="Textoindependiente"/>
        <w:ind w:firstLine="708"/>
        <w:jc w:val="both"/>
        <w:rPr>
          <w:rFonts w:ascii="Calibri" w:hAnsi="Calibri" w:cs="Arial"/>
          <w:color w:val="767171" w:themeColor="background2" w:themeShade="80"/>
          <w:sz w:val="26"/>
          <w:szCs w:val="26"/>
        </w:rPr>
      </w:pPr>
      <w:r w:rsidRPr="00592CAC">
        <w:rPr>
          <w:rFonts w:ascii="Calibri" w:hAnsi="Calibri" w:cs="Arial"/>
          <w:b/>
          <w:bCs/>
          <w:i/>
          <w:iCs/>
          <w:color w:val="767171" w:themeColor="background2" w:themeShade="80"/>
          <w:sz w:val="26"/>
          <w:szCs w:val="26"/>
        </w:rPr>
        <w:lastRenderedPageBreak/>
        <w:t>PRIMERO</w:t>
      </w:r>
      <w:r w:rsidRPr="00592CAC">
        <w:rPr>
          <w:rFonts w:ascii="Calibri" w:hAnsi="Calibri" w:cs="Arial"/>
          <w:color w:val="767171" w:themeColor="background2" w:themeShade="80"/>
          <w:sz w:val="26"/>
          <w:szCs w:val="26"/>
        </w:rPr>
        <w:t xml:space="preserve">.- Este Juzgado Segundo Administrativo Municipal determina ser </w:t>
      </w:r>
      <w:r w:rsidRPr="00592CAC">
        <w:rPr>
          <w:rFonts w:ascii="Calibri" w:hAnsi="Calibri" w:cs="Arial"/>
          <w:b/>
          <w:color w:val="767171" w:themeColor="background2" w:themeShade="80"/>
          <w:sz w:val="26"/>
          <w:szCs w:val="26"/>
        </w:rPr>
        <w:t>competente</w:t>
      </w:r>
      <w:r w:rsidRPr="00592CAC">
        <w:rPr>
          <w:rFonts w:ascii="Calibri" w:hAnsi="Calibri" w:cs="Arial"/>
          <w:color w:val="767171" w:themeColor="background2" w:themeShade="80"/>
          <w:sz w:val="26"/>
          <w:szCs w:val="26"/>
        </w:rPr>
        <w:t xml:space="preserve"> para conocer y resolver del presente proceso administrativo. . . . . . .   </w:t>
      </w:r>
    </w:p>
    <w:p w:rsidR="00570159" w:rsidRPr="0031271B" w:rsidRDefault="00570159" w:rsidP="00570159">
      <w:pPr>
        <w:pStyle w:val="Textoindependiente"/>
        <w:jc w:val="both"/>
        <w:rPr>
          <w:rFonts w:ascii="Calibri" w:hAnsi="Calibri" w:cs="Arial"/>
          <w:color w:val="767171" w:themeColor="background2" w:themeShade="80"/>
          <w:sz w:val="20"/>
          <w:szCs w:val="20"/>
        </w:rPr>
      </w:pPr>
    </w:p>
    <w:p w:rsidR="00570159" w:rsidRDefault="00570159" w:rsidP="00275718">
      <w:pPr>
        <w:pStyle w:val="Textoindependienteprimerasangra"/>
        <w:ind w:firstLine="708"/>
        <w:jc w:val="both"/>
        <w:rPr>
          <w:rFonts w:asciiTheme="minorHAnsi" w:hAnsiTheme="minorHAnsi" w:cstheme="minorHAnsi"/>
          <w:color w:val="767171" w:themeColor="background2" w:themeShade="80"/>
          <w:sz w:val="26"/>
          <w:szCs w:val="26"/>
        </w:rPr>
      </w:pPr>
      <w:r w:rsidRPr="00592CAC">
        <w:rPr>
          <w:rFonts w:ascii="Calibri" w:hAnsi="Calibri" w:cs="Arial"/>
          <w:b/>
          <w:bCs/>
          <w:i/>
          <w:iCs/>
          <w:color w:val="767171" w:themeColor="background2" w:themeShade="80"/>
          <w:sz w:val="26"/>
          <w:szCs w:val="26"/>
        </w:rPr>
        <w:t xml:space="preserve">SEGUNDO.- </w:t>
      </w:r>
      <w:r w:rsidRPr="00592CAC">
        <w:rPr>
          <w:rFonts w:ascii="Calibri" w:hAnsi="Calibri" w:cs="Arial"/>
          <w:color w:val="767171" w:themeColor="background2" w:themeShade="80"/>
          <w:sz w:val="26"/>
          <w:szCs w:val="26"/>
        </w:rPr>
        <w:t>Se</w:t>
      </w:r>
      <w:r w:rsidRPr="00592CAC">
        <w:rPr>
          <w:rFonts w:ascii="Calibri" w:hAnsi="Calibri" w:cs="Arial"/>
          <w:b/>
          <w:color w:val="767171" w:themeColor="background2" w:themeShade="80"/>
          <w:sz w:val="26"/>
          <w:szCs w:val="26"/>
        </w:rPr>
        <w:t xml:space="preserve"> SOBRESEE</w:t>
      </w:r>
      <w:r w:rsidRPr="00592CAC">
        <w:rPr>
          <w:rFonts w:ascii="Calibri" w:hAnsi="Calibri" w:cs="Arial"/>
          <w:color w:val="767171" w:themeColor="background2" w:themeShade="80"/>
          <w:sz w:val="26"/>
          <w:szCs w:val="26"/>
        </w:rPr>
        <w:t xml:space="preserve"> el presente proceso, atento a las consideraciones lógicas y jurídicas expuestas en el Considerando Quinto de la presente resolución. </w:t>
      </w:r>
      <w:r w:rsidR="00275718">
        <w:rPr>
          <w:rFonts w:asciiTheme="minorHAnsi" w:hAnsiTheme="minorHAnsi" w:cstheme="minorHAnsi"/>
          <w:color w:val="767171" w:themeColor="background2" w:themeShade="80"/>
          <w:sz w:val="26"/>
          <w:szCs w:val="26"/>
        </w:rPr>
        <w:t>.</w:t>
      </w:r>
      <w:r w:rsidR="00275718">
        <w:rPr>
          <w:rFonts w:asciiTheme="minorHAnsi" w:hAnsiTheme="minorHAnsi"/>
          <w:color w:val="767171" w:themeColor="background2" w:themeShade="80"/>
        </w:rPr>
        <w:t xml:space="preserve"> </w:t>
      </w:r>
      <w:r w:rsidR="00275718">
        <w:rPr>
          <w:rFonts w:asciiTheme="minorHAnsi" w:hAnsiTheme="minorHAnsi"/>
          <w:color w:val="767171" w:themeColor="background2" w:themeShade="80"/>
          <w:sz w:val="26"/>
          <w:szCs w:val="26"/>
        </w:rPr>
        <w:t xml:space="preserve">. . . . . . . . . . . . </w:t>
      </w:r>
      <w:r w:rsidR="00275718">
        <w:rPr>
          <w:rFonts w:asciiTheme="minorHAnsi" w:hAnsiTheme="minorHAnsi" w:cstheme="minorHAnsi"/>
          <w:color w:val="767171" w:themeColor="background2" w:themeShade="80"/>
          <w:sz w:val="26"/>
          <w:szCs w:val="26"/>
        </w:rPr>
        <w:t>. . . . . . . . . . .</w:t>
      </w:r>
      <w:r w:rsidR="00275718">
        <w:rPr>
          <w:rFonts w:asciiTheme="minorHAnsi" w:hAnsiTheme="minorHAnsi"/>
          <w:color w:val="767171" w:themeColor="background2" w:themeShade="80"/>
        </w:rPr>
        <w:t xml:space="preserve"> </w:t>
      </w:r>
      <w:r w:rsidR="00275718">
        <w:rPr>
          <w:rFonts w:asciiTheme="minorHAnsi" w:hAnsiTheme="minorHAnsi"/>
          <w:color w:val="767171" w:themeColor="background2" w:themeShade="80"/>
          <w:sz w:val="26"/>
          <w:szCs w:val="26"/>
        </w:rPr>
        <w:t xml:space="preserve">. . . . . . . . . . . . </w:t>
      </w:r>
      <w:r w:rsidR="00275718">
        <w:rPr>
          <w:rFonts w:asciiTheme="minorHAnsi" w:hAnsiTheme="minorHAnsi" w:cstheme="minorHAnsi"/>
          <w:color w:val="767171" w:themeColor="background2" w:themeShade="80"/>
          <w:sz w:val="26"/>
          <w:szCs w:val="26"/>
        </w:rPr>
        <w:t xml:space="preserve">. . . . . . . . . . . . . . . </w:t>
      </w:r>
    </w:p>
    <w:p w:rsidR="00275718" w:rsidRPr="00275718" w:rsidRDefault="00275718" w:rsidP="00275718">
      <w:pPr>
        <w:pStyle w:val="Textoindependienteprimerasangra"/>
        <w:ind w:firstLine="708"/>
        <w:jc w:val="both"/>
        <w:rPr>
          <w:rFonts w:asciiTheme="minorHAnsi" w:hAnsiTheme="minorHAnsi" w:cstheme="minorHAnsi"/>
          <w:color w:val="767171" w:themeColor="background2" w:themeShade="80"/>
          <w:sz w:val="26"/>
          <w:szCs w:val="26"/>
        </w:rPr>
      </w:pPr>
    </w:p>
    <w:p w:rsidR="00570159" w:rsidRPr="00592CAC" w:rsidRDefault="00570159" w:rsidP="00570159">
      <w:pPr>
        <w:pStyle w:val="Textoindependiente"/>
        <w:ind w:firstLine="708"/>
        <w:jc w:val="both"/>
        <w:rPr>
          <w:rFonts w:ascii="Calibri" w:hAnsi="Calibri" w:cs="Arial"/>
          <w:color w:val="767171" w:themeColor="background2" w:themeShade="80"/>
          <w:sz w:val="26"/>
          <w:szCs w:val="26"/>
          <w:lang w:val="es-MX"/>
        </w:rPr>
      </w:pPr>
      <w:r w:rsidRPr="00592CAC">
        <w:rPr>
          <w:rFonts w:ascii="Calibri" w:hAnsi="Calibri" w:cs="Arial"/>
          <w:color w:val="767171" w:themeColor="background2" w:themeShade="80"/>
          <w:sz w:val="26"/>
          <w:szCs w:val="26"/>
        </w:rPr>
        <w:t>Notifíquese a la</w:t>
      </w:r>
      <w:r w:rsidR="0031271B">
        <w:rPr>
          <w:rFonts w:ascii="Calibri" w:hAnsi="Calibri" w:cs="Arial"/>
          <w:color w:val="767171" w:themeColor="background2" w:themeShade="80"/>
          <w:sz w:val="26"/>
          <w:szCs w:val="26"/>
        </w:rPr>
        <w:t>s</w:t>
      </w:r>
      <w:r w:rsidRPr="00592CAC">
        <w:rPr>
          <w:rFonts w:ascii="Calibri" w:hAnsi="Calibri" w:cs="Arial"/>
          <w:color w:val="767171" w:themeColor="background2" w:themeShade="80"/>
          <w:sz w:val="26"/>
          <w:szCs w:val="26"/>
        </w:rPr>
        <w:t xml:space="preserve"> autoridad</w:t>
      </w:r>
      <w:r w:rsidR="0031271B">
        <w:rPr>
          <w:rFonts w:ascii="Calibri" w:hAnsi="Calibri" w:cs="Arial"/>
          <w:color w:val="767171" w:themeColor="background2" w:themeShade="80"/>
          <w:sz w:val="26"/>
          <w:szCs w:val="26"/>
        </w:rPr>
        <w:t>es</w:t>
      </w:r>
      <w:r w:rsidRPr="00592CAC">
        <w:rPr>
          <w:rFonts w:ascii="Calibri" w:hAnsi="Calibri" w:cs="Arial"/>
          <w:color w:val="767171" w:themeColor="background2" w:themeShade="80"/>
          <w:sz w:val="26"/>
          <w:szCs w:val="26"/>
        </w:rPr>
        <w:t xml:space="preserve"> demandada</w:t>
      </w:r>
      <w:r w:rsidR="0031271B">
        <w:rPr>
          <w:rFonts w:ascii="Calibri" w:hAnsi="Calibri" w:cs="Arial"/>
          <w:color w:val="767171" w:themeColor="background2" w:themeShade="80"/>
          <w:sz w:val="26"/>
          <w:szCs w:val="26"/>
        </w:rPr>
        <w:t>s</w:t>
      </w:r>
      <w:r w:rsidRPr="00592CAC">
        <w:rPr>
          <w:rFonts w:ascii="Calibri" w:hAnsi="Calibri" w:cs="Arial"/>
          <w:color w:val="767171" w:themeColor="background2" w:themeShade="80"/>
          <w:sz w:val="26"/>
          <w:szCs w:val="26"/>
        </w:rPr>
        <w:t xml:space="preserve"> por oficio y, por correo electrónico; y, a la parte actora, personalmente. . . . . . . . . . .</w:t>
      </w:r>
      <w:r w:rsidR="0031271B">
        <w:rPr>
          <w:rFonts w:ascii="Calibri" w:hAnsi="Calibri" w:cs="Arial"/>
          <w:color w:val="767171" w:themeColor="background2" w:themeShade="80"/>
          <w:sz w:val="26"/>
          <w:szCs w:val="26"/>
        </w:rPr>
        <w:t xml:space="preserve"> . . . . . . . . . . . . . . . . . .</w:t>
      </w:r>
    </w:p>
    <w:p w:rsidR="00570159" w:rsidRPr="0031271B" w:rsidRDefault="00570159" w:rsidP="00570159">
      <w:pPr>
        <w:pStyle w:val="Textoindependiente"/>
        <w:jc w:val="both"/>
        <w:rPr>
          <w:rFonts w:ascii="Calibri" w:hAnsi="Calibri" w:cs="Arial"/>
          <w:color w:val="767171" w:themeColor="background2" w:themeShade="80"/>
          <w:sz w:val="20"/>
          <w:szCs w:val="20"/>
          <w:lang w:val="es-MX"/>
        </w:rPr>
      </w:pPr>
    </w:p>
    <w:p w:rsidR="00570159" w:rsidRPr="00592CAC" w:rsidRDefault="00570159" w:rsidP="00570159">
      <w:pPr>
        <w:pStyle w:val="Textoindependiente"/>
        <w:jc w:val="both"/>
        <w:rPr>
          <w:rFonts w:ascii="Calibri" w:hAnsi="Calibri" w:cs="Arial"/>
          <w:b/>
          <w:bCs/>
          <w:color w:val="767171" w:themeColor="background2" w:themeShade="80"/>
          <w:sz w:val="26"/>
          <w:szCs w:val="26"/>
        </w:rPr>
      </w:pPr>
      <w:r w:rsidRPr="00592CAC">
        <w:rPr>
          <w:rFonts w:ascii="Calibri" w:hAnsi="Calibri" w:cs="Arial"/>
          <w:color w:val="767171" w:themeColor="background2" w:themeShade="80"/>
          <w:sz w:val="26"/>
          <w:szCs w:val="26"/>
        </w:rPr>
        <w:tab/>
        <w:t xml:space="preserve">En su oportunidad, archívese este expediente, como asunto totalmente concluido y dese de baja en el Libro de Registros que se lleva para tal efecto. . . . .  </w:t>
      </w:r>
    </w:p>
    <w:p w:rsidR="00570159" w:rsidRPr="0031271B" w:rsidRDefault="00570159" w:rsidP="00570159">
      <w:pPr>
        <w:pStyle w:val="Textoindependiente"/>
        <w:jc w:val="both"/>
        <w:rPr>
          <w:rFonts w:ascii="Calibri" w:hAnsi="Calibri" w:cs="Arial"/>
          <w:color w:val="767171" w:themeColor="background2" w:themeShade="80"/>
          <w:sz w:val="20"/>
          <w:szCs w:val="20"/>
        </w:rPr>
      </w:pPr>
    </w:p>
    <w:p w:rsidR="00570159" w:rsidRPr="00592CAC" w:rsidRDefault="00570159" w:rsidP="0031271B">
      <w:pPr>
        <w:pStyle w:val="Textoindependiente"/>
        <w:ind w:firstLine="708"/>
        <w:jc w:val="both"/>
        <w:rPr>
          <w:color w:val="767171" w:themeColor="background2" w:themeShade="80"/>
        </w:rPr>
      </w:pPr>
      <w:r w:rsidRPr="00592CAC">
        <w:rPr>
          <w:rFonts w:ascii="Calibri" w:hAnsi="Calibri"/>
          <w:color w:val="767171" w:themeColor="background2" w:themeShade="80"/>
          <w:sz w:val="26"/>
          <w:szCs w:val="26"/>
        </w:rPr>
        <w:t xml:space="preserve">Así lo resolvió y firma el Licenciado </w:t>
      </w:r>
      <w:r w:rsidRPr="00592CAC">
        <w:rPr>
          <w:rFonts w:ascii="Calibri" w:hAnsi="Calibri"/>
          <w:b/>
          <w:bCs/>
          <w:color w:val="767171" w:themeColor="background2" w:themeShade="80"/>
          <w:sz w:val="26"/>
          <w:szCs w:val="26"/>
        </w:rPr>
        <w:t>Ernesto Alejandro Mora Álvarez</w:t>
      </w:r>
      <w:r w:rsidRPr="00592CAC">
        <w:rPr>
          <w:rFonts w:ascii="Calibri" w:hAnsi="Calibri"/>
          <w:color w:val="767171" w:themeColor="background2" w:themeShade="80"/>
          <w:sz w:val="26"/>
          <w:szCs w:val="26"/>
        </w:rPr>
        <w:t xml:space="preserve">, Juez Segundo Administrativo Municipal de León, Guanajuato, quien actúa asistido en forma legal con Secretaria de Estudio y Cuenta, la Licenciada </w:t>
      </w:r>
      <w:r w:rsidRPr="00592CAC">
        <w:rPr>
          <w:rFonts w:ascii="Calibri" w:hAnsi="Calibri"/>
          <w:b/>
          <w:bCs/>
          <w:color w:val="767171" w:themeColor="background2" w:themeShade="80"/>
          <w:sz w:val="26"/>
          <w:szCs w:val="26"/>
        </w:rPr>
        <w:t>María del Rocío Villanueva Sánchez</w:t>
      </w:r>
      <w:r w:rsidRPr="00592CAC">
        <w:rPr>
          <w:rFonts w:ascii="Calibri" w:hAnsi="Calibri"/>
          <w:color w:val="767171" w:themeColor="background2" w:themeShade="80"/>
          <w:sz w:val="26"/>
          <w:szCs w:val="26"/>
        </w:rPr>
        <w:t xml:space="preserve">, quien da fe. . . . . . . . . . . . . . . . . . . . . . . . . . . . . . . . . . . . . . . . . . </w:t>
      </w:r>
    </w:p>
    <w:sectPr w:rsidR="00570159" w:rsidRPr="00592CAC" w:rsidSect="0025628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07" w:rsidRDefault="00952E07">
      <w:r>
        <w:separator/>
      </w:r>
    </w:p>
  </w:endnote>
  <w:endnote w:type="continuationSeparator" w:id="0">
    <w:p w:rsidR="00952E07" w:rsidRDefault="0095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07" w:rsidRDefault="00952E07">
      <w:r>
        <w:separator/>
      </w:r>
    </w:p>
  </w:footnote>
  <w:footnote w:type="continuationSeparator" w:id="0">
    <w:p w:rsidR="00952E07" w:rsidRDefault="00952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324D7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56287" w:rsidRDefault="00952E0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287" w:rsidRDefault="00324D7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D1D45">
      <w:rPr>
        <w:rStyle w:val="Nmerodepgina"/>
        <w:noProof/>
      </w:rPr>
      <w:t>4</w:t>
    </w:r>
    <w:r>
      <w:rPr>
        <w:rStyle w:val="Nmerodepgina"/>
      </w:rPr>
      <w:fldChar w:fldCharType="end"/>
    </w:r>
  </w:p>
  <w:p w:rsidR="00256287" w:rsidRDefault="00952E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59"/>
    <w:rsid w:val="00006238"/>
    <w:rsid w:val="0004160E"/>
    <w:rsid w:val="00065F1E"/>
    <w:rsid w:val="00116619"/>
    <w:rsid w:val="00154398"/>
    <w:rsid w:val="00157CB9"/>
    <w:rsid w:val="001816F4"/>
    <w:rsid w:val="00197E41"/>
    <w:rsid w:val="001C5FFC"/>
    <w:rsid w:val="001E1B45"/>
    <w:rsid w:val="001F4B94"/>
    <w:rsid w:val="001F7556"/>
    <w:rsid w:val="00270597"/>
    <w:rsid w:val="00275718"/>
    <w:rsid w:val="00276002"/>
    <w:rsid w:val="0030634B"/>
    <w:rsid w:val="0031086B"/>
    <w:rsid w:val="0031271B"/>
    <w:rsid w:val="00312DD9"/>
    <w:rsid w:val="00324D7E"/>
    <w:rsid w:val="00326FA3"/>
    <w:rsid w:val="0032700D"/>
    <w:rsid w:val="003663B3"/>
    <w:rsid w:val="00436B63"/>
    <w:rsid w:val="00470D79"/>
    <w:rsid w:val="00485AAC"/>
    <w:rsid w:val="00570159"/>
    <w:rsid w:val="005B1121"/>
    <w:rsid w:val="006179E6"/>
    <w:rsid w:val="00624F44"/>
    <w:rsid w:val="006463E2"/>
    <w:rsid w:val="006643C5"/>
    <w:rsid w:val="00681863"/>
    <w:rsid w:val="006A27E8"/>
    <w:rsid w:val="006A4801"/>
    <w:rsid w:val="006A48B8"/>
    <w:rsid w:val="006B313A"/>
    <w:rsid w:val="006E07F8"/>
    <w:rsid w:val="006F1B7B"/>
    <w:rsid w:val="00730A16"/>
    <w:rsid w:val="007760AD"/>
    <w:rsid w:val="00797F9A"/>
    <w:rsid w:val="00805948"/>
    <w:rsid w:val="00865F53"/>
    <w:rsid w:val="0091499E"/>
    <w:rsid w:val="0092737B"/>
    <w:rsid w:val="00934273"/>
    <w:rsid w:val="00952E07"/>
    <w:rsid w:val="00966239"/>
    <w:rsid w:val="00966FB9"/>
    <w:rsid w:val="009A4D08"/>
    <w:rsid w:val="009B6B54"/>
    <w:rsid w:val="009C0331"/>
    <w:rsid w:val="009D4D2F"/>
    <w:rsid w:val="009D581A"/>
    <w:rsid w:val="009E0724"/>
    <w:rsid w:val="00A862BF"/>
    <w:rsid w:val="00AD1D45"/>
    <w:rsid w:val="00B076A6"/>
    <w:rsid w:val="00B35C4D"/>
    <w:rsid w:val="00B66032"/>
    <w:rsid w:val="00BA0866"/>
    <w:rsid w:val="00BA39FB"/>
    <w:rsid w:val="00BA3E52"/>
    <w:rsid w:val="00BA4D78"/>
    <w:rsid w:val="00BC3FD3"/>
    <w:rsid w:val="00C3052D"/>
    <w:rsid w:val="00C80896"/>
    <w:rsid w:val="00CB2795"/>
    <w:rsid w:val="00D23949"/>
    <w:rsid w:val="00D74DF8"/>
    <w:rsid w:val="00D828B6"/>
    <w:rsid w:val="00DE371A"/>
    <w:rsid w:val="00E52AF3"/>
    <w:rsid w:val="00E56842"/>
    <w:rsid w:val="00E81807"/>
    <w:rsid w:val="00ED768D"/>
    <w:rsid w:val="00EF416E"/>
    <w:rsid w:val="00F6139B"/>
    <w:rsid w:val="00F618F1"/>
    <w:rsid w:val="00FD6103"/>
    <w:rsid w:val="00FE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04FF4-CC60-4F83-A646-ED3C5AA8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15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70159"/>
    <w:pPr>
      <w:spacing w:before="100" w:beforeAutospacing="1" w:after="100" w:afterAutospacing="1"/>
    </w:pPr>
    <w:rPr>
      <w:lang w:val="es-MX"/>
    </w:rPr>
  </w:style>
  <w:style w:type="character" w:styleId="Nmerodepgina">
    <w:name w:val="page number"/>
    <w:basedOn w:val="Fuentedeprrafopredeter"/>
    <w:semiHidden/>
    <w:rsid w:val="00570159"/>
  </w:style>
  <w:style w:type="paragraph" w:styleId="Encabezado">
    <w:name w:val="header"/>
    <w:basedOn w:val="Normal"/>
    <w:link w:val="EncabezadoCar"/>
    <w:uiPriority w:val="99"/>
    <w:rsid w:val="00570159"/>
    <w:pPr>
      <w:tabs>
        <w:tab w:val="center" w:pos="4419"/>
        <w:tab w:val="right" w:pos="8838"/>
      </w:tabs>
    </w:pPr>
    <w:rPr>
      <w:lang w:val="es-MX"/>
    </w:rPr>
  </w:style>
  <w:style w:type="character" w:customStyle="1" w:styleId="EncabezadoCar">
    <w:name w:val="Encabezado Car"/>
    <w:basedOn w:val="Fuentedeprrafopredeter"/>
    <w:link w:val="Encabezado"/>
    <w:uiPriority w:val="99"/>
    <w:rsid w:val="0057015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570159"/>
    <w:pPr>
      <w:spacing w:after="120"/>
    </w:pPr>
  </w:style>
  <w:style w:type="character" w:customStyle="1" w:styleId="TextoindependienteCar">
    <w:name w:val="Texto independiente Car"/>
    <w:basedOn w:val="Fuentedeprrafopredeter"/>
    <w:link w:val="Textoindependiente"/>
    <w:uiPriority w:val="99"/>
    <w:rsid w:val="00570159"/>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570159"/>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57015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7110">
      <w:bodyDiv w:val="1"/>
      <w:marLeft w:val="0"/>
      <w:marRight w:val="0"/>
      <w:marTop w:val="0"/>
      <w:marBottom w:val="0"/>
      <w:divBdr>
        <w:top w:val="none" w:sz="0" w:space="0" w:color="auto"/>
        <w:left w:val="none" w:sz="0" w:space="0" w:color="auto"/>
        <w:bottom w:val="none" w:sz="0" w:space="0" w:color="auto"/>
        <w:right w:val="none" w:sz="0" w:space="0" w:color="auto"/>
      </w:divBdr>
    </w:div>
    <w:div w:id="1240290621">
      <w:bodyDiv w:val="1"/>
      <w:marLeft w:val="0"/>
      <w:marRight w:val="0"/>
      <w:marTop w:val="0"/>
      <w:marBottom w:val="0"/>
      <w:divBdr>
        <w:top w:val="none" w:sz="0" w:space="0" w:color="auto"/>
        <w:left w:val="none" w:sz="0" w:space="0" w:color="auto"/>
        <w:bottom w:val="none" w:sz="0" w:space="0" w:color="auto"/>
        <w:right w:val="none" w:sz="0" w:space="0" w:color="auto"/>
      </w:divBdr>
    </w:div>
    <w:div w:id="1550805821">
      <w:bodyDiv w:val="1"/>
      <w:marLeft w:val="0"/>
      <w:marRight w:val="0"/>
      <w:marTop w:val="0"/>
      <w:marBottom w:val="0"/>
      <w:divBdr>
        <w:top w:val="none" w:sz="0" w:space="0" w:color="auto"/>
        <w:left w:val="none" w:sz="0" w:space="0" w:color="auto"/>
        <w:bottom w:val="none" w:sz="0" w:space="0" w:color="auto"/>
        <w:right w:val="none" w:sz="0" w:space="0" w:color="auto"/>
      </w:divBdr>
    </w:div>
    <w:div w:id="1604997520">
      <w:bodyDiv w:val="1"/>
      <w:marLeft w:val="0"/>
      <w:marRight w:val="0"/>
      <w:marTop w:val="0"/>
      <w:marBottom w:val="0"/>
      <w:divBdr>
        <w:top w:val="none" w:sz="0" w:space="0" w:color="auto"/>
        <w:left w:val="none" w:sz="0" w:space="0" w:color="auto"/>
        <w:bottom w:val="none" w:sz="0" w:space="0" w:color="auto"/>
        <w:right w:val="none" w:sz="0" w:space="0" w:color="auto"/>
      </w:divBdr>
    </w:div>
    <w:div w:id="1653876385">
      <w:bodyDiv w:val="1"/>
      <w:marLeft w:val="0"/>
      <w:marRight w:val="0"/>
      <w:marTop w:val="0"/>
      <w:marBottom w:val="0"/>
      <w:divBdr>
        <w:top w:val="none" w:sz="0" w:space="0" w:color="auto"/>
        <w:left w:val="none" w:sz="0" w:space="0" w:color="auto"/>
        <w:bottom w:val="none" w:sz="0" w:space="0" w:color="auto"/>
        <w:right w:val="none" w:sz="0" w:space="0" w:color="auto"/>
      </w:divBdr>
    </w:div>
    <w:div w:id="1886524138">
      <w:bodyDiv w:val="1"/>
      <w:marLeft w:val="0"/>
      <w:marRight w:val="0"/>
      <w:marTop w:val="0"/>
      <w:marBottom w:val="0"/>
      <w:divBdr>
        <w:top w:val="none" w:sz="0" w:space="0" w:color="auto"/>
        <w:left w:val="none" w:sz="0" w:space="0" w:color="auto"/>
        <w:bottom w:val="none" w:sz="0" w:space="0" w:color="auto"/>
        <w:right w:val="none" w:sz="0" w:space="0" w:color="auto"/>
      </w:divBdr>
    </w:div>
    <w:div w:id="21118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1628</Words>
  <Characters>8960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User</cp:lastModifiedBy>
  <cp:revision>2</cp:revision>
  <dcterms:created xsi:type="dcterms:W3CDTF">2018-07-02T14:05:00Z</dcterms:created>
  <dcterms:modified xsi:type="dcterms:W3CDTF">2018-07-02T14:05:00Z</dcterms:modified>
</cp:coreProperties>
</file>